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04" w:beforeLines="50" w:after="204" w:afterLines="50"/>
        <w:ind w:firstLine="0" w:firstLineChars="0"/>
        <w:jc w:val="center"/>
        <w:rPr>
          <w:rFonts w:ascii="方正小标宋简体" w:eastAsia="方正小标宋简体"/>
          <w:sz w:val="36"/>
          <w:szCs w:val="36"/>
        </w:rPr>
      </w:pPr>
      <w:bookmarkStart w:id="0" w:name="_Toc35185419"/>
      <w:bookmarkStart w:id="1" w:name="_Toc35185796"/>
      <w:bookmarkStart w:id="2" w:name="_Toc35185560"/>
      <w:r>
        <w:rPr>
          <w:rFonts w:hint="eastAsia" w:ascii="方正小标宋简体" w:eastAsia="方正小标宋简体"/>
          <w:sz w:val="36"/>
          <w:szCs w:val="36"/>
        </w:rPr>
        <w:t>2019-2020学年“红旗团支部”评选</w:t>
      </w:r>
      <w:bookmarkEnd w:id="0"/>
      <w:bookmarkEnd w:id="1"/>
      <w:bookmarkEnd w:id="2"/>
      <w:r>
        <w:rPr>
          <w:rFonts w:hint="eastAsia" w:ascii="方正小标宋简体" w:eastAsia="方正小标宋简体"/>
          <w:sz w:val="36"/>
          <w:szCs w:val="36"/>
        </w:rPr>
        <w:t>细则</w:t>
      </w:r>
    </w:p>
    <w:p>
      <w:pPr>
        <w:spacing w:before="102" w:beforeLines="25" w:after="102" w:afterLines="25"/>
        <w:ind w:firstLine="643"/>
        <w:jc w:val="both"/>
        <w:rPr>
          <w:rFonts w:ascii="仿宋_GB2312" w:hAnsi="仿宋" w:cs="Times New Roman"/>
          <w:b/>
          <w:bCs/>
          <w:color w:val="000000"/>
          <w:szCs w:val="30"/>
        </w:rPr>
      </w:pPr>
      <w:r>
        <w:rPr>
          <w:rFonts w:hint="eastAsia" w:ascii="黑体" w:hAnsi="黑体" w:eastAsia="黑体" w:cs="Times New Roman"/>
          <w:b/>
          <w:bCs/>
          <w:color w:val="000000"/>
          <w:sz w:val="32"/>
          <w:szCs w:val="32"/>
        </w:rPr>
        <w:t>第一条</w:t>
      </w:r>
      <w:r>
        <w:rPr>
          <w:rFonts w:hint="eastAsia" w:ascii="仿宋_GB2312" w:hAnsi="仿宋" w:cs="Times New Roman"/>
          <w:b/>
          <w:bCs/>
          <w:color w:val="000000"/>
          <w:szCs w:val="30"/>
        </w:rPr>
        <w:t xml:space="preserve">  </w:t>
      </w:r>
      <w:r>
        <w:rPr>
          <w:rFonts w:hint="eastAsia" w:ascii="黑体" w:hAnsi="黑体" w:eastAsia="黑体" w:cs="Times New Roman"/>
          <w:b/>
          <w:bCs/>
          <w:color w:val="000000"/>
          <w:sz w:val="32"/>
          <w:szCs w:val="32"/>
        </w:rPr>
        <w:t>总则</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校团委根据全校各参评团支部的综合得分从高到低评选出</w:t>
      </w:r>
      <w:r>
        <w:rPr>
          <w:rFonts w:ascii="仿宋_GB2312" w:hAnsi="仿宋" w:cs="Times New Roman"/>
          <w:color w:val="000000"/>
          <w:sz w:val="28"/>
          <w:szCs w:val="28"/>
        </w:rPr>
        <w:t>4</w:t>
      </w:r>
      <w:r>
        <w:rPr>
          <w:rFonts w:hint="eastAsia" w:ascii="仿宋_GB2312" w:hAnsi="仿宋" w:cs="Times New Roman"/>
          <w:color w:val="000000"/>
          <w:sz w:val="28"/>
          <w:szCs w:val="28"/>
        </w:rPr>
        <w:t>0个红旗团支部（含本科生团支部、研究生团支部、学生社团团支部和创新型团支部）。各团支部综合得分由申报材料、日常工作、团支部活力建设三部分得分加权构成。计算公式为：综合得分=申报材料得分（百分制）×30%＋基础团务工作得分（百分制）×4</w:t>
      </w:r>
      <w:r>
        <w:rPr>
          <w:rFonts w:ascii="仿宋_GB2312" w:hAnsi="仿宋" w:cs="Times New Roman"/>
          <w:color w:val="000000"/>
          <w:sz w:val="28"/>
          <w:szCs w:val="28"/>
        </w:rPr>
        <w:t>0</w:t>
      </w:r>
      <w:r>
        <w:rPr>
          <w:rFonts w:hint="eastAsia" w:ascii="仿宋_GB2312" w:hAnsi="仿宋" w:cs="Times New Roman"/>
          <w:color w:val="000000"/>
          <w:sz w:val="28"/>
          <w:szCs w:val="28"/>
        </w:rPr>
        <w:t>%＋团支部活力建设得分（百分制）×30%。</w:t>
      </w:r>
    </w:p>
    <w:p>
      <w:pPr>
        <w:spacing w:before="102" w:beforeLines="25" w:after="102" w:afterLines="25"/>
        <w:ind w:firstLine="643"/>
        <w:jc w:val="both"/>
        <w:rPr>
          <w:rFonts w:ascii="黑体" w:hAnsi="黑体" w:eastAsia="黑体" w:cs="Times New Roman"/>
          <w:b/>
          <w:bCs/>
          <w:color w:val="000000"/>
          <w:sz w:val="32"/>
          <w:szCs w:val="32"/>
        </w:rPr>
      </w:pPr>
      <w:r>
        <w:rPr>
          <w:rFonts w:hint="eastAsia" w:ascii="黑体" w:hAnsi="黑体" w:eastAsia="黑体" w:cs="Times New Roman"/>
          <w:b/>
          <w:bCs/>
          <w:color w:val="000000"/>
          <w:sz w:val="32"/>
          <w:szCs w:val="32"/>
        </w:rPr>
        <w:t>第二条  申报材料的量化评分标准</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（一）思想政治引领工作（</w:t>
      </w:r>
      <w:r>
        <w:rPr>
          <w:rFonts w:ascii="楷体_GB2312" w:hAnsi="仿宋" w:eastAsia="楷体_GB2312" w:cs="Times New Roman"/>
          <w:b/>
          <w:color w:val="000000"/>
          <w:szCs w:val="30"/>
        </w:rPr>
        <w:t>4</w:t>
      </w:r>
      <w:r>
        <w:rPr>
          <w:rFonts w:hint="eastAsia" w:ascii="楷体_GB2312" w:hAnsi="仿宋" w:eastAsia="楷体_GB2312" w:cs="Times New Roman"/>
          <w:b/>
          <w:color w:val="000000"/>
          <w:szCs w:val="30"/>
        </w:rPr>
        <w:t>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1.高举中国特色社会主义伟大旗帜,坚持以马克思列宁主义、毛泽东思想、邓小平理论、“三个代表”重要思想、科学发展观、习近平新时代中国特色社会主义思想为行动指南，围绕“庆祝新中国成立70周年”“纪念五四运动100周年”“第七届世界军人运动会”“众志成城·防疫有我”等主题，持续创新开展“青年大学习”“四进四信”“百生讲坛”“三下乡”寒暑期社会实践等思想引领主题教育实践活动。（15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2.</w:t>
      </w:r>
      <w:r>
        <w:rPr>
          <w:rFonts w:hint="eastAsia" w:ascii="仿宋_GB2312" w:hAnsi="仿宋" w:cs="Times New Roman"/>
          <w:color w:val="000000"/>
          <w:sz w:val="28"/>
          <w:szCs w:val="28"/>
        </w:rPr>
        <w:t>学习宣传贯彻习近平新时代中国特色社会主义思想和党的十九大、团的十八大精神，增强“四个意识”、坚定“四个自信”、做到“两个维护”。积极响应上级党团组织号召，依托团学工作阵地，结合工作实际，加强对团员的理想信念和国情教育，</w:t>
      </w:r>
      <w:r>
        <w:rPr>
          <w:rFonts w:ascii="仿宋_GB2312" w:hAnsi="仿宋" w:cs="Times New Roman"/>
          <w:color w:val="000000"/>
          <w:sz w:val="28"/>
          <w:szCs w:val="28"/>
        </w:rPr>
        <w:t>团结引领广大团员青年为坚持和完善中国特色社会主义制度、推进国家治理体系和治理能力现代化贡献</w:t>
      </w:r>
      <w:r>
        <w:rPr>
          <w:rFonts w:hint="eastAsia" w:ascii="仿宋_GB2312" w:hAnsi="仿宋" w:cs="Times New Roman"/>
          <w:color w:val="000000"/>
          <w:sz w:val="28"/>
          <w:szCs w:val="28"/>
        </w:rPr>
        <w:t>力量。（</w:t>
      </w:r>
      <w:r>
        <w:rPr>
          <w:rFonts w:ascii="仿宋_GB2312" w:hAnsi="仿宋" w:cs="Times New Roman"/>
          <w:color w:val="000000"/>
          <w:sz w:val="28"/>
          <w:szCs w:val="28"/>
        </w:rPr>
        <w:t>10</w:t>
      </w:r>
      <w:r>
        <w:rPr>
          <w:rFonts w:hint="eastAsia" w:ascii="仿宋_GB2312" w:hAnsi="仿宋" w:cs="Times New Roman"/>
          <w:color w:val="000000"/>
          <w:sz w:val="28"/>
          <w:szCs w:val="28"/>
        </w:rPr>
        <w:t>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3</w:t>
      </w:r>
      <w:r>
        <w:rPr>
          <w:rFonts w:hint="eastAsia" w:ascii="仿宋_GB2312" w:hAnsi="仿宋" w:cs="Times New Roman"/>
          <w:color w:val="000000"/>
          <w:sz w:val="28"/>
          <w:szCs w:val="28"/>
        </w:rPr>
        <w:t>.精准把握支部成员的思想动态和成长需求，引导支部成员积极围绕学校、学院和支部的中心工作，在学校“双一流”学科建设、全面深化综合改革中献言献策、建功立业。（</w:t>
      </w:r>
      <w:r>
        <w:rPr>
          <w:rFonts w:ascii="仿宋_GB2312" w:hAnsi="仿宋" w:cs="Times New Roman"/>
          <w:color w:val="000000"/>
          <w:sz w:val="28"/>
          <w:szCs w:val="28"/>
        </w:rPr>
        <w:t>10</w:t>
      </w:r>
      <w:r>
        <w:rPr>
          <w:rFonts w:hint="eastAsia" w:ascii="仿宋_GB2312" w:hAnsi="仿宋" w:cs="Times New Roman"/>
          <w:color w:val="000000"/>
          <w:sz w:val="28"/>
          <w:szCs w:val="28"/>
        </w:rPr>
        <w:t>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4.</w:t>
      </w:r>
      <w:r>
        <w:rPr>
          <w:rFonts w:hint="eastAsia" w:ascii="仿宋_GB2312" w:hAnsi="仿宋" w:cs="Times New Roman"/>
          <w:color w:val="000000"/>
          <w:sz w:val="28"/>
          <w:szCs w:val="28"/>
        </w:rPr>
        <w:t>充分发挥基层团支部的战斗堡垒作用，贯彻落实习近平总书记“疫情就是命令、防控就是责任”等系列重要指示，引导团员青年积极参与疫情防控工作，勇担新时代青年责任，在防控疫情战斗中发挥共青团生力军和突击队作用，</w:t>
      </w:r>
      <w:r>
        <w:rPr>
          <w:rFonts w:ascii="仿宋_GB2312" w:hAnsi="仿宋" w:cs="Times New Roman"/>
          <w:color w:val="000000"/>
          <w:sz w:val="28"/>
          <w:szCs w:val="28"/>
        </w:rPr>
        <w:t>为打赢疫情防控阻击战</w:t>
      </w:r>
      <w:r>
        <w:rPr>
          <w:rFonts w:hint="eastAsia" w:ascii="仿宋_GB2312" w:hAnsi="仿宋" w:cs="Times New Roman"/>
          <w:color w:val="000000"/>
          <w:sz w:val="28"/>
          <w:szCs w:val="28"/>
        </w:rPr>
        <w:t>贡献青春力量</w:t>
      </w:r>
      <w:r>
        <w:rPr>
          <w:rFonts w:ascii="仿宋_GB2312" w:hAnsi="仿宋" w:cs="Times New Roman"/>
          <w:color w:val="000000"/>
          <w:sz w:val="28"/>
          <w:szCs w:val="28"/>
        </w:rPr>
        <w:t>。</w:t>
      </w:r>
      <w:r>
        <w:rPr>
          <w:rFonts w:hint="eastAsia" w:ascii="仿宋_GB2312" w:hAnsi="仿宋" w:cs="Times New Roman"/>
          <w:color w:val="000000"/>
          <w:sz w:val="28"/>
          <w:szCs w:val="28"/>
        </w:rPr>
        <w:t>（5分）</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（二）组织工作（30分）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1.将《中国共产主义青年团支部工作条例（试行）》作为基本遵循，落实上级团组织的各项工作要求，认真做好“三会两制一课”、“团组织推优入党”、“智慧团建”等基础团务工作，有序组织团员青年参与支部活动，在团员青年中具有较高的影响力、号召力，获得师生较好评价。（10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2.严肃团的组织生活纪律，积极创新团的组织生活方式，严格团员日常教育管理，注重创新工作方式和运转机制，有效发挥团支部服务青年、引领青年的纽带作用。创新升级团学活动形式，将“中国梦”教育、社会主义核心价值观、新时代中国青年的使命与担当等内容以青年学子喜闻乐见的形式有效地融入到各类支部活动中。（10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3.支部机构设置规范有序、换届考评制度完善健全，部门设置及职责分工科学合理，各项工作均能有序开展。支部干部换届及时，换届程序、方法合理，换届过程公正、公平、公开。（10分）</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（三）宣传工作（</w:t>
      </w:r>
      <w:r>
        <w:rPr>
          <w:rFonts w:ascii="楷体_GB2312" w:hAnsi="仿宋" w:eastAsia="楷体_GB2312" w:cs="Times New Roman"/>
          <w:b/>
          <w:color w:val="000000"/>
          <w:szCs w:val="30"/>
        </w:rPr>
        <w:t>3</w:t>
      </w:r>
      <w:r>
        <w:rPr>
          <w:rFonts w:hint="eastAsia" w:ascii="楷体_GB2312" w:hAnsi="仿宋" w:eastAsia="楷体_GB2312" w:cs="Times New Roman"/>
          <w:b/>
          <w:color w:val="000000"/>
          <w:szCs w:val="30"/>
        </w:rPr>
        <w:t>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1.积极开展线上线下“青年大学习”活动，支部成员积极参加“青年大学习”线上主题教育活动，支部学习参与率高。（15分）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2.团结带领支部成员在思想引领、学术科研、社会实践、志愿服务、创新创业等方面积极探索创新，形成良好的支部文化，产生积极影响，有较好的示范作用和宣传效果。（</w:t>
      </w:r>
      <w:r>
        <w:rPr>
          <w:rFonts w:ascii="仿宋_GB2312" w:hAnsi="仿宋" w:cs="Times New Roman"/>
          <w:color w:val="000000"/>
          <w:sz w:val="28"/>
          <w:szCs w:val="28"/>
        </w:rPr>
        <w:t>10</w:t>
      </w:r>
      <w:r>
        <w:rPr>
          <w:rFonts w:hint="eastAsia" w:ascii="仿宋_GB2312" w:hAnsi="仿宋" w:cs="Times New Roman"/>
          <w:color w:val="000000"/>
          <w:sz w:val="28"/>
          <w:szCs w:val="28"/>
        </w:rPr>
        <w:t>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3.积极宣传推广支部特色活动、支部工作经验和支部优秀团员典型，向校内外新媒体平台积极投稿，形成特色做法并有一定社会影响。（5分）</w:t>
      </w:r>
    </w:p>
    <w:p>
      <w:pPr>
        <w:spacing w:before="102" w:beforeLines="25" w:after="102" w:afterLines="25"/>
        <w:ind w:firstLine="643"/>
        <w:jc w:val="both"/>
        <w:rPr>
          <w:rFonts w:ascii="黑体" w:hAnsi="黑体" w:eastAsia="黑体" w:cs="Times New Roman"/>
          <w:b/>
          <w:bCs/>
          <w:color w:val="000000"/>
          <w:sz w:val="32"/>
          <w:szCs w:val="32"/>
        </w:rPr>
      </w:pPr>
    </w:p>
    <w:p>
      <w:pPr>
        <w:spacing w:before="102" w:beforeLines="25" w:after="102" w:afterLines="25"/>
        <w:ind w:firstLine="643"/>
        <w:jc w:val="both"/>
        <w:rPr>
          <w:rFonts w:ascii="黑体" w:hAnsi="黑体" w:eastAsia="黑体" w:cs="Times New Roman"/>
          <w:b/>
          <w:bCs/>
          <w:color w:val="000000"/>
          <w:sz w:val="32"/>
          <w:szCs w:val="32"/>
        </w:rPr>
      </w:pPr>
      <w:r>
        <w:rPr>
          <w:rFonts w:hint="eastAsia" w:ascii="黑体" w:hAnsi="黑体" w:eastAsia="黑体" w:cs="Times New Roman"/>
          <w:b/>
          <w:bCs/>
          <w:color w:val="000000"/>
          <w:sz w:val="32"/>
          <w:szCs w:val="32"/>
        </w:rPr>
        <w:t>第三条  基础团务工作量化评分标准</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（一）三会两制一课（30分）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1.</w:t>
      </w:r>
      <w:r>
        <w:rPr>
          <w:rFonts w:hint="eastAsia" w:ascii="仿宋_GB2312" w:hAnsi="仿宋" w:cs="Times New Roman"/>
          <w:color w:val="000000"/>
          <w:sz w:val="28"/>
          <w:szCs w:val="28"/>
        </w:rPr>
        <w:t>认真落实“三会两制一课”制度。团支部按照“三会两制一课”的工作要求组织按期支部大会、团小组会和支部委员会，定期组织开展团课，按期开展团员教育评议和团员年度团籍注册工作，支部工作记录和工作台账完整。（15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2.</w:t>
      </w:r>
      <w:r>
        <w:rPr>
          <w:rFonts w:hint="eastAsia" w:ascii="仿宋_GB2312" w:hAnsi="仿宋" w:cs="Times New Roman"/>
          <w:color w:val="000000"/>
          <w:sz w:val="28"/>
          <w:szCs w:val="28"/>
        </w:rPr>
        <w:t>团支部结合重点工作，每3个月至少开展1次支部大会，每月至少开展</w:t>
      </w:r>
      <w:r>
        <w:rPr>
          <w:rFonts w:ascii="仿宋_GB2312" w:hAnsi="仿宋" w:cs="Times New Roman"/>
          <w:color w:val="000000"/>
          <w:sz w:val="28"/>
          <w:szCs w:val="28"/>
        </w:rPr>
        <w:t>1次</w:t>
      </w:r>
      <w:r>
        <w:rPr>
          <w:rFonts w:hint="eastAsia" w:ascii="仿宋_GB2312" w:hAnsi="仿宋" w:cs="Times New Roman"/>
          <w:color w:val="000000"/>
          <w:sz w:val="28"/>
          <w:szCs w:val="28"/>
        </w:rPr>
        <w:t>支部委员会、1次</w:t>
      </w:r>
      <w:r>
        <w:rPr>
          <w:rFonts w:ascii="仿宋_GB2312" w:hAnsi="仿宋" w:cs="Times New Roman"/>
          <w:color w:val="000000"/>
          <w:sz w:val="28"/>
          <w:szCs w:val="28"/>
        </w:rPr>
        <w:t>主题团日</w:t>
      </w:r>
      <w:r>
        <w:rPr>
          <w:rFonts w:hint="eastAsia" w:ascii="仿宋_GB2312" w:hAnsi="仿宋" w:cs="Times New Roman"/>
          <w:color w:val="000000"/>
          <w:sz w:val="28"/>
          <w:szCs w:val="28"/>
        </w:rPr>
        <w:t>活动。</w:t>
      </w:r>
      <w:r>
        <w:rPr>
          <w:rFonts w:ascii="仿宋_GB2312" w:hAnsi="仿宋" w:cs="Times New Roman"/>
          <w:color w:val="000000"/>
          <w:sz w:val="28"/>
          <w:szCs w:val="28"/>
        </w:rPr>
        <w:t>每年</w:t>
      </w:r>
      <w:r>
        <w:rPr>
          <w:rFonts w:hint="eastAsia" w:ascii="仿宋_GB2312" w:hAnsi="仿宋" w:cs="Times New Roman"/>
          <w:color w:val="000000"/>
          <w:sz w:val="28"/>
          <w:szCs w:val="28"/>
        </w:rPr>
        <w:t>在团支部委员之间、团支部委员和团员之间、团员和团员之间至少开展1次谈心谈话，1次</w:t>
      </w:r>
      <w:r>
        <w:rPr>
          <w:rFonts w:ascii="仿宋_GB2312" w:hAnsi="仿宋" w:cs="Times New Roman"/>
          <w:color w:val="000000"/>
          <w:sz w:val="28"/>
          <w:szCs w:val="28"/>
        </w:rPr>
        <w:t>团员教育评议工作</w:t>
      </w:r>
      <w:r>
        <w:rPr>
          <w:rFonts w:hint="eastAsia" w:ascii="仿宋_GB2312" w:hAnsi="仿宋" w:cs="Times New Roman"/>
          <w:color w:val="000000"/>
          <w:sz w:val="28"/>
          <w:szCs w:val="28"/>
        </w:rPr>
        <w:t>和1次</w:t>
      </w:r>
      <w:r>
        <w:rPr>
          <w:rFonts w:ascii="仿宋_GB2312" w:hAnsi="仿宋" w:cs="Times New Roman"/>
          <w:color w:val="000000"/>
          <w:sz w:val="28"/>
          <w:szCs w:val="28"/>
        </w:rPr>
        <w:t>团员年度团籍注册工作。</w:t>
      </w:r>
      <w:r>
        <w:rPr>
          <w:rFonts w:hint="eastAsia" w:ascii="仿宋_GB2312" w:hAnsi="仿宋" w:cs="Times New Roman"/>
          <w:color w:val="000000"/>
          <w:sz w:val="28"/>
          <w:szCs w:val="28"/>
        </w:rPr>
        <w:t>（</w:t>
      </w:r>
      <w:r>
        <w:rPr>
          <w:rFonts w:ascii="仿宋_GB2312" w:hAnsi="仿宋" w:cs="Times New Roman"/>
          <w:color w:val="000000"/>
          <w:sz w:val="28"/>
          <w:szCs w:val="28"/>
        </w:rPr>
        <w:t>1</w:t>
      </w:r>
      <w:r>
        <w:rPr>
          <w:rFonts w:hint="eastAsia" w:ascii="仿宋_GB2312" w:hAnsi="仿宋" w:cs="Times New Roman"/>
          <w:color w:val="000000"/>
          <w:sz w:val="28"/>
          <w:szCs w:val="28"/>
        </w:rPr>
        <w:t>5分）</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（二）智慧团建工作（20分）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1.按照上级要求推进基层团组织规范化建设，熟练掌握“智慧团建”系统相关操作，团支部所属团员、团干部基本信息应均已登录“智慧团建”系统，切实做好各项团组织关系转接工作。（1</w:t>
      </w:r>
      <w:r>
        <w:rPr>
          <w:rFonts w:ascii="仿宋_GB2312" w:hAnsi="仿宋" w:cs="Times New Roman"/>
          <w:color w:val="000000"/>
          <w:sz w:val="28"/>
          <w:szCs w:val="28"/>
        </w:rPr>
        <w:t>0分</w:t>
      </w:r>
      <w:r>
        <w:rPr>
          <w:rFonts w:hint="eastAsia" w:ascii="仿宋_GB2312" w:hAnsi="仿宋" w:cs="Times New Roman"/>
          <w:color w:val="000000"/>
          <w:sz w:val="28"/>
          <w:szCs w:val="28"/>
        </w:rPr>
        <w:t>）</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2</w:t>
      </w:r>
      <w:r>
        <w:rPr>
          <w:rFonts w:ascii="仿宋_GB2312" w:hAnsi="仿宋" w:cs="Times New Roman"/>
          <w:color w:val="000000"/>
          <w:sz w:val="28"/>
          <w:szCs w:val="28"/>
        </w:rPr>
        <w:t>.</w:t>
      </w:r>
      <w:r>
        <w:rPr>
          <w:rFonts w:hint="eastAsia" w:ascii="仿宋_GB2312" w:hAnsi="仿宋" w:cs="Times New Roman"/>
          <w:color w:val="000000"/>
          <w:sz w:val="28"/>
          <w:szCs w:val="28"/>
        </w:rPr>
        <w:t>规范落实团支部整理整顿工作，按时提交《团支部规范化建设情况信息表》，及时开展“智慧团建”团支部整理整顿工作，按时提交“团支部自检表”，推进团支部整理整顿成效明显。（</w:t>
      </w:r>
      <w:r>
        <w:rPr>
          <w:rFonts w:ascii="仿宋_GB2312" w:hAnsi="仿宋" w:cs="Times New Roman"/>
          <w:color w:val="000000"/>
          <w:sz w:val="28"/>
          <w:szCs w:val="28"/>
        </w:rPr>
        <w:t>10</w:t>
      </w:r>
      <w:r>
        <w:rPr>
          <w:rFonts w:hint="eastAsia" w:ascii="仿宋_GB2312" w:hAnsi="仿宋" w:cs="Times New Roman"/>
          <w:color w:val="000000"/>
          <w:sz w:val="28"/>
          <w:szCs w:val="28"/>
        </w:rPr>
        <w:t>分）</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（三）班团一体化工作（30分）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1</w:t>
      </w:r>
      <w:r>
        <w:rPr>
          <w:rFonts w:hint="eastAsia" w:ascii="仿宋_GB2312" w:hAnsi="仿宋" w:cs="Times New Roman"/>
          <w:color w:val="000000"/>
          <w:sz w:val="28"/>
          <w:szCs w:val="28"/>
        </w:rPr>
        <w:t>.有效发挥团支部在班级中的思想引领作用，推进实施“班团一体化”建设（班长兼任团支部副书记或团支部书记兼任班长、班级团支部与班委会一体化运行机制），进一步理顺班级和团支部的关系，夯实团的基层基础工作，提升团支部活力。（1</w:t>
      </w:r>
      <w:r>
        <w:rPr>
          <w:rFonts w:ascii="仿宋_GB2312" w:hAnsi="仿宋" w:cs="Times New Roman"/>
          <w:color w:val="000000"/>
          <w:sz w:val="28"/>
          <w:szCs w:val="28"/>
        </w:rPr>
        <w:t>0</w:t>
      </w:r>
      <w:r>
        <w:rPr>
          <w:rFonts w:hint="eastAsia" w:ascii="仿宋_GB2312" w:hAnsi="仿宋" w:cs="Times New Roman"/>
          <w:color w:val="000000"/>
          <w:sz w:val="28"/>
          <w:szCs w:val="28"/>
        </w:rPr>
        <w:t>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2</w:t>
      </w:r>
      <w:r>
        <w:rPr>
          <w:rFonts w:ascii="仿宋_GB2312" w:hAnsi="仿宋" w:cs="Times New Roman"/>
          <w:color w:val="000000"/>
          <w:sz w:val="28"/>
          <w:szCs w:val="28"/>
        </w:rPr>
        <w:t>.</w:t>
      </w:r>
      <w:r>
        <w:rPr>
          <w:rFonts w:hint="eastAsia" w:ascii="仿宋_GB2312" w:hAnsi="仿宋" w:cs="Times New Roman"/>
          <w:color w:val="000000"/>
          <w:sz w:val="28"/>
          <w:szCs w:val="28"/>
        </w:rPr>
        <w:t>团支部委员会、班干部成员思想政治好，工作责任心强，认真落实上级团组织部署安排，扎实有效开展团支部工作，在支部团员青年中有较高的认可度。（</w:t>
      </w:r>
      <w:r>
        <w:rPr>
          <w:rFonts w:ascii="仿宋_GB2312" w:hAnsi="仿宋" w:cs="Times New Roman"/>
          <w:color w:val="000000"/>
          <w:sz w:val="28"/>
          <w:szCs w:val="28"/>
        </w:rPr>
        <w:t>10</w:t>
      </w:r>
      <w:r>
        <w:rPr>
          <w:rFonts w:hint="eastAsia" w:ascii="仿宋_GB2312" w:hAnsi="仿宋" w:cs="Times New Roman"/>
          <w:color w:val="000000"/>
          <w:sz w:val="28"/>
          <w:szCs w:val="28"/>
        </w:rPr>
        <w:t>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3</w:t>
      </w:r>
      <w:r>
        <w:rPr>
          <w:rFonts w:ascii="仿宋_GB2312" w:hAnsi="仿宋" w:cs="Times New Roman"/>
          <w:color w:val="000000"/>
          <w:sz w:val="28"/>
          <w:szCs w:val="28"/>
        </w:rPr>
        <w:t>.</w:t>
      </w:r>
      <w:r>
        <w:rPr>
          <w:rFonts w:hint="eastAsia" w:ascii="仿宋_GB2312" w:hAnsi="仿宋" w:cs="Times New Roman"/>
          <w:color w:val="000000"/>
          <w:sz w:val="28"/>
          <w:szCs w:val="28"/>
        </w:rPr>
        <w:t>加强支委、班委与支部成员、班级成员间的联系，及时了解、积极反映和解决他们的思想动态、学习生活情况以及发展诉求，帮助支部成员健康成长，发挥好联系同学和上级团组织的桥梁纽带作用。（</w:t>
      </w:r>
      <w:r>
        <w:rPr>
          <w:rFonts w:ascii="仿宋_GB2312" w:hAnsi="仿宋" w:cs="Times New Roman"/>
          <w:color w:val="000000"/>
          <w:sz w:val="28"/>
          <w:szCs w:val="28"/>
        </w:rPr>
        <w:t>1</w:t>
      </w:r>
      <w:r>
        <w:rPr>
          <w:rFonts w:hint="eastAsia" w:ascii="仿宋_GB2312" w:hAnsi="仿宋" w:cs="Times New Roman"/>
          <w:color w:val="000000"/>
          <w:sz w:val="28"/>
          <w:szCs w:val="28"/>
        </w:rPr>
        <w:t>0分）</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（四）第二课堂工作（20分）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1</w:t>
      </w:r>
      <w:r>
        <w:rPr>
          <w:rFonts w:ascii="仿宋_GB2312" w:hAnsi="仿宋" w:cs="Times New Roman"/>
          <w:color w:val="000000"/>
          <w:sz w:val="28"/>
          <w:szCs w:val="28"/>
        </w:rPr>
        <w:t>.</w:t>
      </w:r>
      <w:r>
        <w:rPr>
          <w:rFonts w:hint="eastAsia" w:ascii="仿宋_GB2312" w:hAnsi="仿宋" w:cs="Times New Roman"/>
          <w:color w:val="000000"/>
          <w:sz w:val="28"/>
          <w:szCs w:val="28"/>
        </w:rPr>
        <w:t>团支部积极发挥组织带头作用，积极组织开展社会实践、志愿公益、心理健康、文体活动方面等第二课堂素质教育活动，提升支部活力，加强支部第二课堂文化建设，做好第一课堂的有机补充。（1</w:t>
      </w:r>
      <w:r>
        <w:rPr>
          <w:rFonts w:ascii="仿宋_GB2312" w:hAnsi="仿宋" w:cs="Times New Roman"/>
          <w:color w:val="000000"/>
          <w:sz w:val="28"/>
          <w:szCs w:val="28"/>
        </w:rPr>
        <w:t>0</w:t>
      </w:r>
      <w:r>
        <w:rPr>
          <w:rFonts w:hint="eastAsia" w:ascii="仿宋_GB2312" w:hAnsi="仿宋" w:cs="Times New Roman"/>
          <w:color w:val="000000"/>
          <w:sz w:val="28"/>
          <w:szCs w:val="28"/>
        </w:rPr>
        <w:t>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2</w:t>
      </w:r>
      <w:r>
        <w:rPr>
          <w:rFonts w:ascii="仿宋_GB2312" w:hAnsi="仿宋" w:cs="Times New Roman"/>
          <w:color w:val="000000"/>
          <w:sz w:val="28"/>
          <w:szCs w:val="28"/>
        </w:rPr>
        <w:t>.</w:t>
      </w:r>
      <w:r>
        <w:rPr>
          <w:rFonts w:hint="eastAsia" w:ascii="仿宋_GB2312" w:hAnsi="仿宋" w:cs="Times New Roman"/>
          <w:color w:val="000000"/>
          <w:sz w:val="28"/>
          <w:szCs w:val="28"/>
        </w:rPr>
        <w:t>发挥团支部优势，引导支部成员坚持学业为主的同时结合自己的兴趣、特长、能力和成长需求，积极参加校内外团组织开展的第二课堂团学活动。（1</w:t>
      </w:r>
      <w:r>
        <w:rPr>
          <w:rFonts w:ascii="仿宋_GB2312" w:hAnsi="仿宋" w:cs="Times New Roman"/>
          <w:color w:val="000000"/>
          <w:sz w:val="28"/>
          <w:szCs w:val="28"/>
        </w:rPr>
        <w:t>0</w:t>
      </w:r>
      <w:r>
        <w:rPr>
          <w:rFonts w:hint="eastAsia" w:ascii="仿宋_GB2312" w:hAnsi="仿宋" w:cs="Times New Roman"/>
          <w:color w:val="000000"/>
          <w:sz w:val="28"/>
          <w:szCs w:val="28"/>
        </w:rPr>
        <w:t>分）</w:t>
      </w:r>
    </w:p>
    <w:p>
      <w:pPr>
        <w:spacing w:before="102" w:beforeLines="25" w:after="102" w:afterLines="25"/>
        <w:ind w:firstLine="643"/>
        <w:jc w:val="both"/>
        <w:rPr>
          <w:rFonts w:ascii="黑体" w:hAnsi="黑体" w:eastAsia="黑体" w:cs="Times New Roman"/>
          <w:b/>
          <w:bCs/>
          <w:color w:val="000000"/>
          <w:sz w:val="32"/>
          <w:szCs w:val="32"/>
        </w:rPr>
      </w:pPr>
      <w:r>
        <w:rPr>
          <w:rFonts w:hint="eastAsia" w:ascii="黑体" w:hAnsi="黑体" w:eastAsia="黑体" w:cs="Times New Roman"/>
          <w:b/>
          <w:bCs/>
          <w:color w:val="000000"/>
          <w:sz w:val="32"/>
          <w:szCs w:val="32"/>
        </w:rPr>
        <w:t xml:space="preserve">第四条 </w:t>
      </w:r>
      <w:r>
        <w:rPr>
          <w:rFonts w:ascii="黑体" w:hAnsi="黑体" w:eastAsia="黑体" w:cs="Times New Roman"/>
          <w:b/>
          <w:bCs/>
          <w:color w:val="000000"/>
          <w:sz w:val="32"/>
          <w:szCs w:val="32"/>
        </w:rPr>
        <w:t xml:space="preserve"> </w:t>
      </w:r>
      <w:r>
        <w:rPr>
          <w:rFonts w:hint="eastAsia" w:ascii="黑体" w:hAnsi="黑体" w:eastAsia="黑体" w:cs="Times New Roman"/>
          <w:b/>
          <w:bCs/>
          <w:color w:val="000000"/>
          <w:sz w:val="32"/>
          <w:szCs w:val="32"/>
        </w:rPr>
        <w:t>团支部活力建设量化评分标准</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（一）团日活动（70分）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1.</w:t>
      </w:r>
      <w:r>
        <w:rPr>
          <w:rFonts w:hint="eastAsia" w:ascii="仿宋_GB2312" w:hAnsi="仿宋" w:cs="Times New Roman"/>
          <w:color w:val="000000"/>
          <w:sz w:val="28"/>
          <w:szCs w:val="28"/>
        </w:rPr>
        <w:t>结合上级团组织要求与工作实际，积极开展主题团日活动，团日活动记录表能及时更新并按时上交，材料填写格式符合要求。（10分）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2.</w:t>
      </w:r>
      <w:r>
        <w:rPr>
          <w:rFonts w:hint="eastAsia" w:ascii="仿宋_GB2312" w:hAnsi="仿宋" w:cs="Times New Roman"/>
          <w:color w:val="000000"/>
          <w:sz w:val="28"/>
          <w:szCs w:val="28"/>
        </w:rPr>
        <w:t>团日活动主题紧贴团日活动指南，内容丰富、形式新颖、具备学科特色，时间与空间安排灵活合理。（10分）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3.团日活动记录表内容完备详实，图文并茂，能够切实反映团日活动开展情况，并有丰富的多媒体材料支撑。（10分）</w:t>
      </w:r>
    </w:p>
    <w:p>
      <w:pPr>
        <w:ind w:firstLine="560"/>
        <w:jc w:val="both"/>
        <w:rPr>
          <w:rFonts w:ascii="仿宋_GB2312" w:hAnsi="仿宋" w:cs="Times New Roman"/>
          <w:color w:val="000000"/>
          <w:sz w:val="28"/>
          <w:szCs w:val="28"/>
        </w:rPr>
      </w:pPr>
      <w:r>
        <w:rPr>
          <w:rFonts w:ascii="仿宋_GB2312" w:hAnsi="仿宋" w:cs="Times New Roman"/>
          <w:color w:val="000000"/>
          <w:sz w:val="28"/>
          <w:szCs w:val="28"/>
        </w:rPr>
        <w:t>4.</w:t>
      </w:r>
      <w:r>
        <w:rPr>
          <w:rFonts w:hint="eastAsia" w:ascii="仿宋_GB2312" w:hAnsi="仿宋" w:cs="Times New Roman"/>
          <w:color w:val="000000"/>
          <w:sz w:val="28"/>
          <w:szCs w:val="28"/>
        </w:rPr>
        <w:t>团日活动能够达到预期效果，起到凝聚团员、教育团员的作用，得到了支部成员的良好反响。（</w:t>
      </w:r>
      <w:r>
        <w:rPr>
          <w:rFonts w:ascii="仿宋_GB2312" w:hAnsi="仿宋" w:cs="Times New Roman"/>
          <w:color w:val="000000"/>
          <w:sz w:val="28"/>
          <w:szCs w:val="28"/>
        </w:rPr>
        <w:t>10</w:t>
      </w:r>
      <w:r>
        <w:rPr>
          <w:rFonts w:hint="eastAsia" w:ascii="仿宋_GB2312" w:hAnsi="仿宋" w:cs="Times New Roman"/>
          <w:color w:val="000000"/>
          <w:sz w:val="28"/>
          <w:szCs w:val="28"/>
        </w:rPr>
        <w:t>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5</w:t>
      </w:r>
      <w:r>
        <w:rPr>
          <w:rFonts w:ascii="仿宋_GB2312" w:hAnsi="仿宋" w:cs="Times New Roman"/>
          <w:color w:val="000000"/>
          <w:sz w:val="28"/>
          <w:szCs w:val="28"/>
        </w:rPr>
        <w:t>.</w:t>
      </w:r>
      <w:r>
        <w:rPr>
          <w:rFonts w:hint="eastAsia" w:ascii="仿宋_GB2312" w:hAnsi="仿宋" w:cs="Times New Roman"/>
          <w:color w:val="000000"/>
          <w:sz w:val="28"/>
          <w:szCs w:val="28"/>
        </w:rPr>
        <w:t>团支部委员会成员主动发挥先锋模范引领作用，充分调动支部成员积极性，团日活动团员参与率达到</w:t>
      </w:r>
      <w:r>
        <w:rPr>
          <w:rFonts w:ascii="仿宋_GB2312" w:hAnsi="仿宋" w:cs="Times New Roman"/>
          <w:color w:val="000000"/>
          <w:sz w:val="28"/>
          <w:szCs w:val="28"/>
        </w:rPr>
        <w:t>90%</w:t>
      </w:r>
      <w:r>
        <w:rPr>
          <w:rFonts w:hint="eastAsia" w:ascii="仿宋_GB2312" w:hAnsi="仿宋" w:cs="Times New Roman"/>
          <w:color w:val="000000"/>
          <w:sz w:val="28"/>
          <w:szCs w:val="28"/>
        </w:rPr>
        <w:t>及以上。（1</w:t>
      </w:r>
      <w:r>
        <w:rPr>
          <w:rFonts w:ascii="仿宋_GB2312" w:hAnsi="仿宋" w:cs="Times New Roman"/>
          <w:color w:val="000000"/>
          <w:sz w:val="28"/>
          <w:szCs w:val="28"/>
        </w:rPr>
        <w:t>0</w:t>
      </w:r>
      <w:r>
        <w:rPr>
          <w:rFonts w:hint="eastAsia" w:ascii="仿宋_GB2312" w:hAnsi="仿宋" w:cs="Times New Roman"/>
          <w:color w:val="000000"/>
          <w:sz w:val="28"/>
          <w:szCs w:val="28"/>
        </w:rPr>
        <w:t>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6.团支部自2019年4月以来团日活动次数达6次及以上计</w:t>
      </w:r>
      <w:r>
        <w:rPr>
          <w:rFonts w:ascii="仿宋_GB2312" w:hAnsi="仿宋" w:cs="Times New Roman"/>
          <w:color w:val="000000"/>
          <w:sz w:val="28"/>
          <w:szCs w:val="28"/>
        </w:rPr>
        <w:t>20</w:t>
      </w:r>
      <w:r>
        <w:rPr>
          <w:rFonts w:hint="eastAsia" w:ascii="仿宋_GB2312" w:hAnsi="仿宋" w:cs="Times New Roman"/>
          <w:color w:val="000000"/>
          <w:sz w:val="28"/>
          <w:szCs w:val="28"/>
        </w:rPr>
        <w:t>分，</w:t>
      </w:r>
      <w:r>
        <w:rPr>
          <w:rFonts w:ascii="仿宋_GB2312" w:hAnsi="仿宋" w:cs="Times New Roman"/>
          <w:color w:val="000000"/>
          <w:sz w:val="28"/>
          <w:szCs w:val="28"/>
        </w:rPr>
        <w:t>4</w:t>
      </w:r>
      <w:r>
        <w:rPr>
          <w:rFonts w:hint="eastAsia" w:ascii="仿宋_GB2312" w:hAnsi="仿宋" w:cs="Times New Roman"/>
          <w:color w:val="000000"/>
          <w:sz w:val="28"/>
          <w:szCs w:val="28"/>
        </w:rPr>
        <w:t>次及以上计1</w:t>
      </w:r>
      <w:r>
        <w:rPr>
          <w:rFonts w:ascii="仿宋_GB2312" w:hAnsi="仿宋" w:cs="Times New Roman"/>
          <w:color w:val="000000"/>
          <w:sz w:val="28"/>
          <w:szCs w:val="28"/>
        </w:rPr>
        <w:t>5</w:t>
      </w:r>
      <w:r>
        <w:rPr>
          <w:rFonts w:hint="eastAsia" w:ascii="仿宋_GB2312" w:hAnsi="仿宋" w:cs="Times New Roman"/>
          <w:color w:val="000000"/>
          <w:sz w:val="28"/>
          <w:szCs w:val="28"/>
        </w:rPr>
        <w:t>分，2次及以上计</w:t>
      </w:r>
      <w:r>
        <w:rPr>
          <w:rFonts w:ascii="仿宋_GB2312" w:hAnsi="仿宋" w:cs="Times New Roman"/>
          <w:color w:val="000000"/>
          <w:sz w:val="28"/>
          <w:szCs w:val="28"/>
        </w:rPr>
        <w:t>10</w:t>
      </w:r>
      <w:r>
        <w:rPr>
          <w:rFonts w:hint="eastAsia" w:ascii="仿宋_GB2312" w:hAnsi="仿宋" w:cs="Times New Roman"/>
          <w:color w:val="000000"/>
          <w:sz w:val="28"/>
          <w:szCs w:val="28"/>
        </w:rPr>
        <w:t>分，2次以下计5分，不举办不得分。（2</w:t>
      </w:r>
      <w:r>
        <w:rPr>
          <w:rFonts w:ascii="仿宋_GB2312" w:hAnsi="仿宋" w:cs="Times New Roman"/>
          <w:color w:val="000000"/>
          <w:sz w:val="28"/>
          <w:szCs w:val="28"/>
        </w:rPr>
        <w:t>0</w:t>
      </w:r>
      <w:r>
        <w:rPr>
          <w:rFonts w:hint="eastAsia" w:ascii="仿宋_GB2312" w:hAnsi="仿宋" w:cs="Times New Roman"/>
          <w:color w:val="000000"/>
          <w:sz w:val="28"/>
          <w:szCs w:val="28"/>
        </w:rPr>
        <w:t>分）</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（二）“纪念五四运动100周年”专项（10分）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支部认真组织开展“纪念五四运动100周年”主题教育活动，创新形式组织支部成员深入学习贯彻总书记在纪念大会上的重要讲话精神，积极践行总书记对青年提出的“六点要求”，做到学习全覆盖、入脑入心。</w:t>
      </w:r>
    </w:p>
    <w:p>
      <w:pPr>
        <w:ind w:firstLine="602"/>
        <w:jc w:val="both"/>
        <w:rPr>
          <w:rFonts w:ascii="楷体_GB2312" w:hAnsi="仿宋" w:eastAsia="楷体_GB2312" w:cs="Times New Roman"/>
          <w:b/>
          <w:color w:val="000000"/>
          <w:szCs w:val="30"/>
        </w:rPr>
      </w:pPr>
      <w:r>
        <w:rPr>
          <w:rFonts w:ascii="楷体_GB2312" w:hAnsi="仿宋" w:eastAsia="楷体_GB2312" w:cs="Times New Roman"/>
          <w:b/>
          <w:color w:val="000000"/>
          <w:szCs w:val="30"/>
        </w:rPr>
        <w:t>（三）</w:t>
      </w:r>
      <w:r>
        <w:rPr>
          <w:rFonts w:hint="eastAsia" w:ascii="楷体_GB2312" w:hAnsi="仿宋" w:eastAsia="楷体_GB2312" w:cs="Times New Roman"/>
          <w:b/>
          <w:color w:val="000000"/>
          <w:szCs w:val="30"/>
        </w:rPr>
        <w:t>“庆祝新中国成立70周年”专项（10分）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支部认真组织开展“庆祝新中国成立70周年”主题教育活动，创新形式开展庆祝学习活动，积极展现支部团员青年的爱国热情、使命担当和蓬勃朝气，支部成员能够做到增强“四个自信”、坚定“四个意识”、坚决做到“两个维护”。</w:t>
      </w:r>
    </w:p>
    <w:p>
      <w:pPr>
        <w:ind w:firstLine="602"/>
        <w:jc w:val="both"/>
        <w:rPr>
          <w:rFonts w:ascii="楷体_GB2312" w:hAnsi="仿宋" w:eastAsia="楷体_GB2312" w:cs="Times New Roman"/>
          <w:b/>
          <w:color w:val="000000"/>
          <w:szCs w:val="30"/>
        </w:rPr>
      </w:pPr>
      <w:r>
        <w:rPr>
          <w:rFonts w:hint="eastAsia" w:ascii="楷体_GB2312" w:hAnsi="仿宋" w:eastAsia="楷体_GB2312" w:cs="Times New Roman"/>
          <w:b/>
          <w:color w:val="000000"/>
          <w:szCs w:val="30"/>
        </w:rPr>
        <w:t>（四）疫情专项（10分）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认真组织开展“众志成城·防疫有我”特别主题团日活动，支部成员参与率高。引导支部成员在做好个人安全防护的前提下积极参加线上、线下等防疫志愿服务活动，加强抗击疫情宣传教育,“不听谣、不信谣、不传谣</w:t>
      </w:r>
      <w:r>
        <w:rPr>
          <w:rFonts w:ascii="仿宋_GB2312" w:hAnsi="仿宋" w:cs="Times New Roman"/>
          <w:color w:val="000000"/>
          <w:sz w:val="28"/>
          <w:szCs w:val="28"/>
        </w:rPr>
        <w:t>”</w:t>
      </w:r>
      <w:r>
        <w:rPr>
          <w:rFonts w:hint="eastAsia" w:ascii="仿宋_GB2312" w:hAnsi="仿宋" w:cs="Times New Roman"/>
          <w:color w:val="000000"/>
          <w:sz w:val="28"/>
          <w:szCs w:val="28"/>
        </w:rPr>
        <w:t>，为打赢疫情防控阻击战作出积极贡献。积极向学校、学院等新媒体平台报送团支部“众志成城·防疫有我”特别主题团日活动开展情况，产生良好社会影响。</w:t>
      </w:r>
    </w:p>
    <w:p>
      <w:pPr>
        <w:spacing w:before="102" w:beforeLines="25" w:after="102" w:afterLines="25"/>
        <w:ind w:firstLine="643"/>
        <w:jc w:val="both"/>
        <w:rPr>
          <w:rFonts w:ascii="黑体" w:hAnsi="黑体" w:eastAsia="黑体" w:cs="Times New Roman"/>
          <w:b/>
          <w:bCs/>
          <w:color w:val="000000"/>
          <w:sz w:val="32"/>
          <w:szCs w:val="32"/>
        </w:rPr>
      </w:pPr>
      <w:r>
        <w:rPr>
          <w:rFonts w:hint="eastAsia" w:ascii="黑体" w:hAnsi="黑体" w:eastAsia="黑体" w:cs="Times New Roman"/>
          <w:b/>
          <w:bCs/>
          <w:color w:val="000000"/>
          <w:sz w:val="32"/>
          <w:szCs w:val="32"/>
        </w:rPr>
        <w:t>第五条  附加项</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如有以下情况，可在原有100分满分基础上另行加分，作为附加分：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1.支部本学年在校级及以上级别各类活动中获奖。（国家级加</w:t>
      </w:r>
      <w:r>
        <w:rPr>
          <w:rFonts w:ascii="仿宋_GB2312" w:hAnsi="仿宋" w:cs="Times New Roman"/>
          <w:color w:val="000000"/>
          <w:sz w:val="28"/>
          <w:szCs w:val="28"/>
        </w:rPr>
        <w:t>5</w:t>
      </w:r>
      <w:r>
        <w:rPr>
          <w:rFonts w:hint="eastAsia" w:ascii="仿宋_GB2312" w:hAnsi="仿宋" w:cs="Times New Roman"/>
          <w:color w:val="000000"/>
          <w:sz w:val="28"/>
          <w:szCs w:val="28"/>
        </w:rPr>
        <w:t>分，省级加</w:t>
      </w:r>
      <w:r>
        <w:rPr>
          <w:rFonts w:ascii="仿宋_GB2312" w:hAnsi="仿宋" w:cs="Times New Roman"/>
          <w:color w:val="000000"/>
          <w:sz w:val="28"/>
          <w:szCs w:val="28"/>
        </w:rPr>
        <w:t>3</w:t>
      </w:r>
      <w:r>
        <w:rPr>
          <w:rFonts w:hint="eastAsia" w:ascii="仿宋_GB2312" w:hAnsi="仿宋" w:cs="Times New Roman"/>
          <w:color w:val="000000"/>
          <w:sz w:val="28"/>
          <w:szCs w:val="28"/>
        </w:rPr>
        <w:t>分，市区级加2分，校级加</w:t>
      </w:r>
      <w:r>
        <w:rPr>
          <w:rFonts w:ascii="仿宋_GB2312" w:hAnsi="仿宋" w:cs="Times New Roman"/>
          <w:color w:val="000000"/>
          <w:sz w:val="28"/>
          <w:szCs w:val="28"/>
        </w:rPr>
        <w:t>1</w:t>
      </w:r>
      <w:r>
        <w:rPr>
          <w:rFonts w:hint="eastAsia" w:ascii="仿宋_GB2312" w:hAnsi="仿宋" w:cs="Times New Roman"/>
          <w:color w:val="000000"/>
          <w:sz w:val="28"/>
          <w:szCs w:val="28"/>
        </w:rPr>
        <w:t>分），加分不设上限。</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2.支部工作和活动等相关典型经验和做法得到校级及以上级别媒体报道。（国家级加</w:t>
      </w:r>
      <w:r>
        <w:rPr>
          <w:rFonts w:ascii="仿宋_GB2312" w:hAnsi="仿宋" w:cs="Times New Roman"/>
          <w:color w:val="000000"/>
          <w:sz w:val="28"/>
          <w:szCs w:val="28"/>
        </w:rPr>
        <w:t>5</w:t>
      </w:r>
      <w:r>
        <w:rPr>
          <w:rFonts w:hint="eastAsia" w:ascii="仿宋_GB2312" w:hAnsi="仿宋" w:cs="Times New Roman"/>
          <w:color w:val="000000"/>
          <w:sz w:val="28"/>
          <w:szCs w:val="28"/>
        </w:rPr>
        <w:t>分，省级加</w:t>
      </w:r>
      <w:r>
        <w:rPr>
          <w:rFonts w:ascii="仿宋_GB2312" w:hAnsi="仿宋" w:cs="Times New Roman"/>
          <w:color w:val="000000"/>
          <w:sz w:val="28"/>
          <w:szCs w:val="28"/>
        </w:rPr>
        <w:t>3</w:t>
      </w:r>
      <w:r>
        <w:rPr>
          <w:rFonts w:hint="eastAsia" w:ascii="仿宋_GB2312" w:hAnsi="仿宋" w:cs="Times New Roman"/>
          <w:color w:val="000000"/>
          <w:sz w:val="28"/>
          <w:szCs w:val="28"/>
        </w:rPr>
        <w:t>分，市区级加2分，校级加</w:t>
      </w:r>
      <w:r>
        <w:rPr>
          <w:rFonts w:ascii="仿宋_GB2312" w:hAnsi="仿宋" w:cs="Times New Roman"/>
          <w:color w:val="000000"/>
          <w:sz w:val="28"/>
          <w:szCs w:val="28"/>
        </w:rPr>
        <w:t>1</w:t>
      </w:r>
      <w:r>
        <w:rPr>
          <w:rFonts w:hint="eastAsia" w:ascii="仿宋_GB2312" w:hAnsi="仿宋" w:cs="Times New Roman"/>
          <w:color w:val="000000"/>
          <w:sz w:val="28"/>
          <w:szCs w:val="28"/>
        </w:rPr>
        <w:t>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3</w:t>
      </w:r>
      <w:r>
        <w:rPr>
          <w:rFonts w:ascii="仿宋_GB2312" w:hAnsi="仿宋" w:cs="Times New Roman"/>
          <w:color w:val="000000"/>
          <w:sz w:val="28"/>
          <w:szCs w:val="28"/>
        </w:rPr>
        <w:t>.</w:t>
      </w:r>
      <w:r>
        <w:rPr>
          <w:rFonts w:hint="eastAsia" w:ascii="仿宋_GB2312" w:hAnsi="仿宋" w:cs="Times New Roman"/>
          <w:color w:val="000000"/>
          <w:sz w:val="28"/>
          <w:szCs w:val="28"/>
        </w:rPr>
        <w:t>支部或支部成员在疫情期间有突出贡献的将给予额外加分，最高不超过3分。</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4.支部团支书获评2019-2020年度“最美团支书”的，加1分。</w:t>
      </w:r>
    </w:p>
    <w:p>
      <w:pPr>
        <w:spacing w:before="102" w:beforeLines="25" w:after="102" w:afterLines="25"/>
        <w:ind w:firstLine="643"/>
        <w:jc w:val="both"/>
        <w:rPr>
          <w:rFonts w:ascii="黑体" w:hAnsi="黑体" w:eastAsia="黑体" w:cs="Times New Roman"/>
          <w:b/>
          <w:bCs/>
          <w:color w:val="000000"/>
          <w:sz w:val="32"/>
          <w:szCs w:val="32"/>
        </w:rPr>
      </w:pPr>
      <w:r>
        <w:rPr>
          <w:rFonts w:hint="eastAsia" w:ascii="黑体" w:hAnsi="黑体" w:eastAsia="黑体" w:cs="Times New Roman"/>
          <w:b/>
          <w:bCs/>
          <w:color w:val="000000"/>
          <w:sz w:val="32"/>
          <w:szCs w:val="32"/>
        </w:rPr>
        <w:t>第六条  附则</w:t>
      </w:r>
    </w:p>
    <w:p>
      <w:pPr>
        <w:ind w:firstLine="560"/>
        <w:jc w:val="both"/>
        <w:rPr>
          <w:rFonts w:ascii="仿宋_GB2312" w:hAnsi="仿宋" w:cs="Times New Roman"/>
          <w:color w:val="000000"/>
          <w:sz w:val="28"/>
          <w:szCs w:val="28"/>
        </w:rPr>
      </w:pPr>
      <w:r>
        <w:rPr>
          <w:rFonts w:hint="eastAsia" w:ascii="仿宋_GB2312" w:hAnsi="仿宋" w:cs="Times New Roman"/>
          <w:color w:val="000000"/>
          <w:sz w:val="28"/>
          <w:szCs w:val="28"/>
        </w:rPr>
        <w:t>本办法最终解释权归共青团中南财经政法大学委员会所有。</w:t>
      </w:r>
    </w:p>
    <w:p>
      <w:pPr>
        <w:ind w:firstLine="0" w:firstLineChars="0"/>
        <w:rPr>
          <w:rFonts w:ascii="仿宋_GB2312" w:hAnsi="仿宋" w:cs="Times New Roman"/>
          <w:color w:val="000000"/>
          <w:sz w:val="28"/>
          <w:szCs w:val="28"/>
        </w:rPr>
      </w:pPr>
    </w:p>
    <w:p>
      <w:pPr>
        <w:ind w:firstLine="0" w:firstLineChars="0"/>
        <w:rPr>
          <w:rFonts w:ascii="仿宋_GB2312" w:hAnsi="仿宋" w:cs="Times New Roman"/>
          <w:color w:val="000000"/>
          <w:sz w:val="28"/>
          <w:szCs w:val="28"/>
        </w:rPr>
      </w:pPr>
    </w:p>
    <w:p>
      <w:pPr>
        <w:ind w:firstLine="0" w:firstLineChars="0"/>
        <w:rPr>
          <w:rFonts w:ascii="仿宋_GB2312" w:hAnsi="仿宋" w:cs="Times New Roman"/>
          <w:color w:val="000000"/>
          <w:sz w:val="28"/>
          <w:szCs w:val="28"/>
        </w:rPr>
      </w:pPr>
    </w:p>
    <w:p>
      <w:pPr>
        <w:ind w:firstLine="560"/>
        <w:jc w:val="right"/>
        <w:rPr>
          <w:rFonts w:ascii="仿宋_GB2312" w:hAnsi="仿宋" w:cs="Times New Roman"/>
          <w:color w:val="000000"/>
          <w:sz w:val="28"/>
          <w:szCs w:val="28"/>
        </w:rPr>
      </w:pPr>
      <w:r>
        <w:rPr>
          <w:rFonts w:hint="eastAsia" w:ascii="仿宋_GB2312" w:hAnsi="仿宋" w:cs="Times New Roman"/>
          <w:color w:val="000000"/>
          <w:sz w:val="28"/>
          <w:szCs w:val="28"/>
        </w:rPr>
        <w:t>共青团中南财经政法大学委员会</w:t>
      </w:r>
    </w:p>
    <w:p>
      <w:pPr>
        <w:wordWrap w:val="0"/>
        <w:ind w:right="900" w:rightChars="300" w:firstLine="560"/>
        <w:jc w:val="right"/>
        <w:rPr>
          <w:rFonts w:ascii="仿宋_GB2312" w:hAnsi="仿宋" w:cs="Times New Roman"/>
          <w:color w:val="000000"/>
          <w:sz w:val="28"/>
          <w:szCs w:val="28"/>
        </w:rPr>
      </w:pPr>
      <w:r>
        <w:rPr>
          <w:rFonts w:hint="eastAsia" w:ascii="仿宋_GB2312" w:hAnsi="仿宋" w:cs="Times New Roman"/>
          <w:color w:val="000000"/>
          <w:sz w:val="28"/>
          <w:szCs w:val="28"/>
        </w:rPr>
        <w:t>20</w:t>
      </w:r>
      <w:r>
        <w:rPr>
          <w:rFonts w:ascii="仿宋_GB2312" w:hAnsi="仿宋" w:cs="Times New Roman"/>
          <w:color w:val="000000"/>
          <w:sz w:val="28"/>
          <w:szCs w:val="28"/>
        </w:rPr>
        <w:t>20</w:t>
      </w:r>
      <w:r>
        <w:rPr>
          <w:rFonts w:hint="eastAsia" w:ascii="仿宋_GB2312" w:hAnsi="仿宋" w:cs="Times New Roman"/>
          <w:color w:val="000000"/>
          <w:sz w:val="28"/>
          <w:szCs w:val="28"/>
        </w:rPr>
        <w:t>年</w:t>
      </w:r>
      <w:r>
        <w:rPr>
          <w:rFonts w:ascii="仿宋_GB2312" w:hAnsi="仿宋" w:cs="Times New Roman"/>
          <w:color w:val="000000"/>
          <w:sz w:val="28"/>
          <w:szCs w:val="28"/>
        </w:rPr>
        <w:t>3</w:t>
      </w:r>
      <w:r>
        <w:rPr>
          <w:rFonts w:hint="eastAsia" w:ascii="仿宋_GB2312" w:hAnsi="仿宋" w:cs="Times New Roman"/>
          <w:color w:val="000000"/>
          <w:sz w:val="28"/>
          <w:szCs w:val="28"/>
        </w:rPr>
        <w:t>月</w:t>
      </w:r>
      <w:r>
        <w:rPr>
          <w:rFonts w:ascii="仿宋_GB2312" w:hAnsi="仿宋" w:cs="Times New Roman"/>
          <w:color w:val="000000"/>
          <w:sz w:val="28"/>
          <w:szCs w:val="28"/>
        </w:rPr>
        <w:t>24</w:t>
      </w:r>
      <w:r>
        <w:rPr>
          <w:rFonts w:hint="eastAsia" w:ascii="仿宋_GB2312" w:hAnsi="仿宋" w:cs="Times New Roman"/>
          <w:color w:val="000000"/>
          <w:sz w:val="28"/>
          <w:szCs w:val="28"/>
        </w:rPr>
        <w:t>日</w:t>
      </w:r>
    </w:p>
    <w:p>
      <w:pPr>
        <w:widowControl/>
        <w:spacing w:line="240" w:lineRule="auto"/>
        <w:ind w:firstLine="0" w:firstLineChars="0"/>
        <w:rPr>
          <w:rFonts w:ascii="仿宋_GB2312" w:hAnsi="仿宋" w:cs="Times New Roman"/>
          <w:color w:val="000000"/>
          <w:sz w:val="28"/>
          <w:szCs w:val="28"/>
        </w:rPr>
      </w:pPr>
      <w:r>
        <w:rPr>
          <w:rFonts w:ascii="仿宋_GB2312" w:hAnsi="仿宋" w:cs="Times New Roman"/>
          <w:color w:val="000000"/>
          <w:sz w:val="28"/>
          <w:szCs w:val="28"/>
        </w:rPr>
        <w:br w:type="page"/>
      </w:r>
    </w:p>
    <w:p>
      <w:pPr>
        <w:ind w:firstLine="0" w:firstLineChars="0"/>
        <w:rPr>
          <w:rFonts w:ascii="仿宋_GB2312" w:hAnsi="黑体"/>
          <w:sz w:val="36"/>
          <w:szCs w:val="36"/>
        </w:rPr>
      </w:pPr>
      <w:r>
        <w:rPr>
          <w:rFonts w:hint="eastAsia" w:ascii="仿宋_GB2312" w:hAnsi="黑体"/>
          <w:sz w:val="36"/>
          <w:szCs w:val="36"/>
        </w:rPr>
        <w:t>附件1：</w:t>
      </w:r>
    </w:p>
    <w:p>
      <w:pPr>
        <w:spacing w:before="204" w:beforeLines="50" w:after="204" w:afterLines="50"/>
        <w:ind w:firstLine="0" w:firstLineChars="0"/>
        <w:jc w:val="center"/>
        <w:rPr>
          <w:rFonts w:ascii="方正小标宋简体" w:eastAsia="方正小标宋简体"/>
          <w:sz w:val="36"/>
          <w:szCs w:val="36"/>
        </w:rPr>
      </w:pPr>
      <w:r>
        <w:rPr>
          <w:rFonts w:hint="eastAsia" w:ascii="方正小标宋简体" w:eastAsia="方正小标宋简体"/>
          <w:sz w:val="36"/>
          <w:szCs w:val="36"/>
        </w:rPr>
        <w:t>“红旗团支部”申报表</w:t>
      </w:r>
    </w:p>
    <w:tbl>
      <w:tblPr>
        <w:tblStyle w:val="9"/>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34"/>
        <w:gridCol w:w="1134"/>
        <w:gridCol w:w="1418"/>
        <w:gridCol w:w="1424"/>
        <w:gridCol w:w="560"/>
        <w:gridCol w:w="582"/>
        <w:gridCol w:w="1119"/>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96"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0" w:firstLineChars="0"/>
              <w:jc w:val="center"/>
              <w:rPr>
                <w:rFonts w:ascii="黑体" w:hAnsi="黑体" w:eastAsia="黑体" w:cs="Times New Roman"/>
                <w:szCs w:val="30"/>
              </w:rPr>
            </w:pPr>
            <w:r>
              <w:rPr>
                <w:rFonts w:hint="eastAsia" w:ascii="黑体" w:hAnsi="黑体" w:eastAsia="黑体" w:cs="Times New Roman"/>
                <w:szCs w:val="30"/>
              </w:rPr>
              <w:t>团支部名称</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Times New Roman"/>
                <w:szCs w:val="30"/>
              </w:rPr>
            </w:pPr>
            <w:r>
              <w:rPr>
                <w:rFonts w:hint="eastAsia" w:ascii="黑体" w:hAnsi="黑体" w:eastAsia="黑体" w:cs="Times New Roman"/>
                <w:szCs w:val="30"/>
              </w:rPr>
              <w:t>团支部书记</w:t>
            </w:r>
          </w:p>
        </w:tc>
        <w:tc>
          <w:tcPr>
            <w:tcW w:w="2694"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96" w:type="dxa"/>
            <w:gridSpan w:val="2"/>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ind w:firstLine="0" w:firstLineChars="0"/>
              <w:jc w:val="center"/>
              <w:rPr>
                <w:rFonts w:ascii="黑体" w:hAnsi="黑体" w:eastAsia="黑体" w:cs="Times New Roman"/>
                <w:szCs w:val="30"/>
              </w:rPr>
            </w:pPr>
            <w:r>
              <w:rPr>
                <w:rFonts w:hint="eastAsia" w:ascii="黑体" w:hAnsi="黑体" w:eastAsia="黑体" w:cs="Times New Roman"/>
                <w:szCs w:val="30"/>
              </w:rPr>
              <w:t>学院/单位</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Times New Roman"/>
                <w:szCs w:val="30"/>
              </w:rPr>
            </w:pPr>
            <w:r>
              <w:rPr>
                <w:rFonts w:hint="eastAsia" w:ascii="黑体" w:hAnsi="黑体" w:eastAsia="黑体" w:cs="Times New Roman"/>
                <w:szCs w:val="30"/>
              </w:rPr>
              <w:t>联系方式</w:t>
            </w:r>
          </w:p>
        </w:tc>
        <w:tc>
          <w:tcPr>
            <w:tcW w:w="2694"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62" w:type="dxa"/>
            <w:vMerge w:val="restart"/>
            <w:tcBorders>
              <w:top w:val="single" w:color="auto" w:sz="4" w:space="0"/>
              <w:left w:val="single" w:color="auto" w:sz="4" w:space="0"/>
              <w:right w:val="single" w:color="auto" w:sz="4" w:space="0"/>
            </w:tcBorders>
            <w:tcMar>
              <w:top w:w="0" w:type="dxa"/>
              <w:left w:w="0" w:type="dxa"/>
              <w:bottom w:w="0" w:type="dxa"/>
              <w:right w:w="0" w:type="dxa"/>
            </w:tcMar>
            <w:vAlign w:val="center"/>
          </w:tcPr>
          <w:p>
            <w:pPr>
              <w:ind w:firstLine="0" w:firstLineChars="0"/>
              <w:jc w:val="center"/>
              <w:rPr>
                <w:rFonts w:ascii="黑体" w:hAnsi="黑体" w:eastAsia="黑体" w:cs="Times New Roman"/>
                <w:szCs w:val="30"/>
              </w:rPr>
            </w:pPr>
            <w:r>
              <w:rPr>
                <w:rFonts w:hint="eastAsia" w:ascii="黑体" w:hAnsi="黑体" w:eastAsia="黑体" w:cs="Times New Roman"/>
                <w:szCs w:val="30"/>
              </w:rPr>
              <w:t>团</w:t>
            </w:r>
          </w:p>
          <w:p>
            <w:pPr>
              <w:ind w:firstLine="0" w:firstLineChars="0"/>
              <w:jc w:val="center"/>
              <w:rPr>
                <w:rFonts w:ascii="黑体" w:hAnsi="黑体" w:eastAsia="黑体" w:cs="Times New Roman"/>
                <w:szCs w:val="30"/>
              </w:rPr>
            </w:pPr>
            <w:r>
              <w:rPr>
                <w:rFonts w:hint="eastAsia" w:ascii="黑体" w:hAnsi="黑体" w:eastAsia="黑体" w:cs="Times New Roman"/>
                <w:szCs w:val="30"/>
              </w:rPr>
              <w:t>支</w:t>
            </w:r>
          </w:p>
          <w:p>
            <w:pPr>
              <w:ind w:firstLine="0" w:firstLineChars="0"/>
              <w:jc w:val="center"/>
              <w:rPr>
                <w:rFonts w:ascii="黑体" w:hAnsi="黑体" w:eastAsia="黑体" w:cs="Times New Roman"/>
                <w:szCs w:val="30"/>
              </w:rPr>
            </w:pPr>
            <w:r>
              <w:rPr>
                <w:rFonts w:hint="eastAsia" w:ascii="黑体" w:hAnsi="黑体" w:eastAsia="黑体" w:cs="Times New Roman"/>
                <w:szCs w:val="30"/>
              </w:rPr>
              <w:t>部</w:t>
            </w:r>
          </w:p>
          <w:p>
            <w:pPr>
              <w:ind w:firstLine="0" w:firstLineChars="0"/>
              <w:jc w:val="center"/>
              <w:rPr>
                <w:rFonts w:ascii="黑体" w:hAnsi="黑体" w:eastAsia="黑体" w:cs="Times New Roman"/>
                <w:szCs w:val="30"/>
              </w:rPr>
            </w:pPr>
            <w:r>
              <w:rPr>
                <w:rFonts w:hint="eastAsia" w:ascii="黑体" w:hAnsi="黑体" w:eastAsia="黑体" w:cs="Times New Roman"/>
                <w:szCs w:val="30"/>
              </w:rPr>
              <w:t>基</w:t>
            </w:r>
          </w:p>
          <w:p>
            <w:pPr>
              <w:ind w:firstLine="0" w:firstLineChars="0"/>
              <w:jc w:val="center"/>
              <w:rPr>
                <w:rFonts w:ascii="黑体" w:hAnsi="黑体" w:eastAsia="黑体" w:cs="Times New Roman"/>
                <w:szCs w:val="30"/>
              </w:rPr>
            </w:pPr>
            <w:r>
              <w:rPr>
                <w:rFonts w:hint="eastAsia" w:ascii="黑体" w:hAnsi="黑体" w:eastAsia="黑体" w:cs="Times New Roman"/>
                <w:szCs w:val="30"/>
              </w:rPr>
              <w:t>本</w:t>
            </w:r>
          </w:p>
          <w:p>
            <w:pPr>
              <w:ind w:firstLine="0" w:firstLineChars="0"/>
              <w:jc w:val="center"/>
              <w:rPr>
                <w:rFonts w:ascii="黑体" w:hAnsi="黑体" w:eastAsia="黑体" w:cs="Times New Roman"/>
                <w:szCs w:val="30"/>
              </w:rPr>
            </w:pPr>
            <w:r>
              <w:rPr>
                <w:rFonts w:hint="eastAsia" w:ascii="黑体" w:hAnsi="黑体" w:eastAsia="黑体" w:cs="Times New Roman"/>
                <w:szCs w:val="30"/>
              </w:rPr>
              <w:t>建</w:t>
            </w:r>
          </w:p>
          <w:p>
            <w:pPr>
              <w:ind w:firstLine="0" w:firstLineChars="0"/>
              <w:jc w:val="center"/>
              <w:rPr>
                <w:rFonts w:ascii="黑体" w:hAnsi="黑体" w:eastAsia="黑体" w:cs="Times New Roman"/>
                <w:szCs w:val="30"/>
              </w:rPr>
            </w:pPr>
            <w:r>
              <w:rPr>
                <w:rFonts w:hint="eastAsia" w:ascii="黑体" w:hAnsi="黑体" w:eastAsia="黑体" w:cs="Times New Roman"/>
                <w:szCs w:val="30"/>
              </w:rPr>
              <w:t>设</w:t>
            </w:r>
          </w:p>
          <w:p>
            <w:pPr>
              <w:ind w:firstLine="0" w:firstLineChars="0"/>
              <w:jc w:val="center"/>
              <w:rPr>
                <w:rFonts w:ascii="黑体" w:hAnsi="黑体" w:eastAsia="黑体" w:cs="Times New Roman"/>
                <w:szCs w:val="30"/>
              </w:rPr>
            </w:pPr>
            <w:r>
              <w:rPr>
                <w:rFonts w:hint="eastAsia" w:ascii="黑体" w:hAnsi="黑体" w:eastAsia="黑体" w:cs="Times New Roman"/>
                <w:szCs w:val="30"/>
              </w:rPr>
              <w:t>情</w:t>
            </w:r>
          </w:p>
          <w:p>
            <w:pPr>
              <w:ind w:firstLine="0" w:firstLineChars="0"/>
              <w:jc w:val="center"/>
              <w:rPr>
                <w:rFonts w:ascii="黑体" w:hAnsi="黑体" w:eastAsia="黑体" w:cs="Times New Roman"/>
                <w:sz w:val="28"/>
                <w:szCs w:val="28"/>
              </w:rPr>
            </w:pPr>
            <w:r>
              <w:rPr>
                <w:rFonts w:hint="eastAsia" w:ascii="黑体" w:hAnsi="黑体" w:eastAsia="黑体" w:cs="Times New Roman"/>
                <w:szCs w:val="30"/>
              </w:rPr>
              <w:t>况</w:t>
            </w:r>
          </w:p>
        </w:tc>
        <w:tc>
          <w:tcPr>
            <w:tcW w:w="1134" w:type="dxa"/>
            <w:tcBorders>
              <w:top w:val="single" w:color="auto" w:sz="4" w:space="0"/>
              <w:left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支部</w:t>
            </w:r>
          </w:p>
          <w:p>
            <w:pPr>
              <w:ind w:firstLine="0" w:firstLineChars="0"/>
              <w:jc w:val="center"/>
              <w:rPr>
                <w:rFonts w:ascii="仿宋_GB2312" w:cs="Times New Roman"/>
                <w:sz w:val="24"/>
                <w:szCs w:val="24"/>
              </w:rPr>
            </w:pPr>
            <w:r>
              <w:rPr>
                <w:rFonts w:hint="eastAsia" w:ascii="仿宋_GB2312" w:cs="Times New Roman"/>
                <w:sz w:val="24"/>
                <w:szCs w:val="24"/>
              </w:rPr>
              <w:t>学生数</w:t>
            </w:r>
          </w:p>
        </w:tc>
        <w:tc>
          <w:tcPr>
            <w:tcW w:w="1134" w:type="dxa"/>
            <w:tcBorders>
              <w:top w:val="single" w:color="auto" w:sz="4" w:space="0"/>
              <w:left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1418" w:type="dxa"/>
            <w:tcBorders>
              <w:top w:val="single" w:color="auto" w:sz="4" w:space="0"/>
              <w:left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2019</w:t>
            </w:r>
          </w:p>
          <w:p>
            <w:pPr>
              <w:ind w:firstLine="0" w:firstLineChars="0"/>
              <w:jc w:val="center"/>
              <w:rPr>
                <w:rFonts w:ascii="仿宋_GB2312" w:cs="Times New Roman"/>
                <w:sz w:val="24"/>
                <w:szCs w:val="24"/>
              </w:rPr>
            </w:pPr>
            <w:r>
              <w:rPr>
                <w:rFonts w:hint="eastAsia" w:ascii="仿宋_GB2312" w:cs="Times New Roman"/>
                <w:sz w:val="24"/>
                <w:szCs w:val="24"/>
              </w:rPr>
              <w:t>发展团员数</w:t>
            </w:r>
          </w:p>
        </w:tc>
        <w:tc>
          <w:tcPr>
            <w:tcW w:w="1984" w:type="dxa"/>
            <w:gridSpan w:val="2"/>
            <w:tcBorders>
              <w:top w:val="single" w:color="auto" w:sz="4" w:space="0"/>
              <w:left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1701" w:type="dxa"/>
            <w:gridSpan w:val="2"/>
            <w:tcBorders>
              <w:top w:val="single" w:color="auto" w:sz="4" w:space="0"/>
              <w:left w:val="single" w:color="auto" w:sz="4" w:space="0"/>
              <w:right w:val="single" w:color="auto" w:sz="4" w:space="0"/>
            </w:tcBorders>
            <w:tcMar>
              <w:left w:w="0" w:type="dxa"/>
              <w:right w:w="0" w:type="dxa"/>
            </w:tcMar>
            <w:vAlign w:val="center"/>
          </w:tcPr>
          <w:p>
            <w:pPr>
              <w:ind w:firstLine="0" w:firstLineChars="0"/>
              <w:jc w:val="center"/>
              <w:rPr>
                <w:rFonts w:ascii="仿宋_GB2312" w:cs="Times New Roman"/>
                <w:sz w:val="24"/>
                <w:szCs w:val="24"/>
              </w:rPr>
            </w:pPr>
            <w:r>
              <w:rPr>
                <w:rFonts w:hint="eastAsia" w:ascii="仿宋_GB2312" w:cs="Times New Roman"/>
                <w:sz w:val="24"/>
                <w:szCs w:val="24"/>
              </w:rPr>
              <w:t>2019</w:t>
            </w:r>
          </w:p>
          <w:p>
            <w:pPr>
              <w:ind w:firstLine="0" w:firstLineChars="0"/>
              <w:jc w:val="center"/>
              <w:rPr>
                <w:rFonts w:ascii="仿宋_GB2312" w:cs="Times New Roman"/>
                <w:sz w:val="24"/>
                <w:szCs w:val="24"/>
              </w:rPr>
            </w:pPr>
            <w:r>
              <w:rPr>
                <w:rFonts w:hint="eastAsia" w:ascii="仿宋_GB2312" w:cs="Times New Roman"/>
                <w:sz w:val="24"/>
                <w:szCs w:val="24"/>
              </w:rPr>
              <w:t>推优入党人数</w:t>
            </w:r>
          </w:p>
        </w:tc>
        <w:tc>
          <w:tcPr>
            <w:tcW w:w="993" w:type="dxa"/>
            <w:tcBorders>
              <w:top w:val="single" w:color="auto" w:sz="4" w:space="0"/>
              <w:left w:val="single" w:color="auto" w:sz="4" w:space="0"/>
              <w:right w:val="single" w:color="auto" w:sz="4" w:space="0"/>
            </w:tcBorders>
            <w:vAlign w:val="center"/>
          </w:tcPr>
          <w:p>
            <w:pPr>
              <w:ind w:firstLine="480"/>
              <w:jc w:val="cente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562" w:type="dxa"/>
            <w:vMerge w:val="continue"/>
            <w:tcBorders>
              <w:left w:val="single" w:color="auto" w:sz="4" w:space="0"/>
              <w:right w:val="single" w:color="auto" w:sz="4" w:space="0"/>
            </w:tcBorders>
            <w:vAlign w:val="center"/>
          </w:tcPr>
          <w:p>
            <w:pPr>
              <w:ind w:firstLine="0" w:firstLineChars="0"/>
              <w:jc w:val="center"/>
              <w:rPr>
                <w:rFonts w:ascii="仿宋_GB2312" w:cs="Times New Roman"/>
                <w:sz w:val="28"/>
                <w:szCs w:val="28"/>
              </w:rPr>
            </w:pPr>
          </w:p>
        </w:tc>
        <w:tc>
          <w:tcPr>
            <w:tcW w:w="1134"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仿宋_GB2312" w:cs="Times New Roman"/>
                <w:sz w:val="24"/>
                <w:szCs w:val="24"/>
              </w:rPr>
            </w:pPr>
            <w:r>
              <w:rPr>
                <w:rFonts w:hint="eastAsia" w:ascii="仿宋_GB2312" w:cs="Times New Roman"/>
                <w:sz w:val="24"/>
                <w:szCs w:val="24"/>
              </w:rPr>
              <w:t>支部</w:t>
            </w:r>
          </w:p>
          <w:p>
            <w:pPr>
              <w:ind w:firstLine="0" w:firstLineChars="0"/>
              <w:jc w:val="center"/>
              <w:rPr>
                <w:rFonts w:ascii="仿宋_GB2312" w:cs="Times New Roman"/>
                <w:sz w:val="24"/>
                <w:szCs w:val="24"/>
              </w:rPr>
            </w:pPr>
            <w:r>
              <w:rPr>
                <w:rFonts w:hint="eastAsia" w:ascii="仿宋_GB2312" w:cs="Times New Roman"/>
                <w:sz w:val="24"/>
                <w:szCs w:val="24"/>
              </w:rPr>
              <w:t>团员数</w:t>
            </w:r>
          </w:p>
        </w:tc>
        <w:tc>
          <w:tcPr>
            <w:tcW w:w="113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ascii="仿宋_GB2312" w:cs="Times New Roman"/>
                <w:sz w:val="24"/>
                <w:szCs w:val="24"/>
              </w:rPr>
              <w:t>2019</w:t>
            </w:r>
          </w:p>
          <w:p>
            <w:pPr>
              <w:ind w:firstLine="0" w:firstLineChars="0"/>
              <w:jc w:val="center"/>
              <w:rPr>
                <w:rFonts w:ascii="仿宋_GB2312" w:cs="Times New Roman"/>
                <w:sz w:val="24"/>
                <w:szCs w:val="24"/>
              </w:rPr>
            </w:pPr>
            <w:r>
              <w:rPr>
                <w:rFonts w:hint="eastAsia" w:ascii="仿宋_GB2312" w:cs="Times New Roman"/>
                <w:sz w:val="24"/>
                <w:szCs w:val="24"/>
              </w:rPr>
              <w:t>应收团费</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1701" w:type="dxa"/>
            <w:gridSpan w:val="2"/>
            <w:tcBorders>
              <w:top w:val="single" w:color="auto" w:sz="4" w:space="0"/>
              <w:left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2019</w:t>
            </w:r>
          </w:p>
          <w:p>
            <w:pPr>
              <w:ind w:firstLine="0" w:firstLineChars="0"/>
              <w:jc w:val="center"/>
              <w:rPr>
                <w:rFonts w:ascii="仿宋_GB2312" w:cs="Times New Roman"/>
                <w:sz w:val="24"/>
                <w:szCs w:val="24"/>
              </w:rPr>
            </w:pPr>
            <w:r>
              <w:rPr>
                <w:rFonts w:hint="eastAsia" w:ascii="仿宋_GB2312" w:cs="Times New Roman"/>
                <w:sz w:val="24"/>
                <w:szCs w:val="24"/>
              </w:rPr>
              <w:t>实收团费</w:t>
            </w:r>
          </w:p>
        </w:tc>
        <w:tc>
          <w:tcPr>
            <w:tcW w:w="993" w:type="dxa"/>
            <w:tcBorders>
              <w:top w:val="single" w:color="auto" w:sz="4" w:space="0"/>
              <w:left w:val="single" w:color="auto" w:sz="4" w:space="0"/>
              <w:right w:val="single" w:color="auto" w:sz="4" w:space="0"/>
            </w:tcBorders>
            <w:vAlign w:val="center"/>
          </w:tcPr>
          <w:p>
            <w:pPr>
              <w:ind w:firstLine="480"/>
              <w:jc w:val="cente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Borders>
              <w:left w:val="single" w:color="auto" w:sz="4" w:space="0"/>
              <w:right w:val="single" w:color="auto" w:sz="4" w:space="0"/>
            </w:tcBorders>
            <w:vAlign w:val="center"/>
          </w:tcPr>
          <w:p>
            <w:pPr>
              <w:ind w:firstLine="0" w:firstLineChars="0"/>
              <w:jc w:val="center"/>
              <w:rPr>
                <w:rFonts w:ascii="仿宋_GB2312" w:cs="Times New Roman"/>
                <w:sz w:val="28"/>
                <w:szCs w:val="28"/>
              </w:rPr>
            </w:pPr>
          </w:p>
        </w:tc>
        <w:tc>
          <w:tcPr>
            <w:tcW w:w="8364" w:type="dxa"/>
            <w:gridSpan w:val="8"/>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团支部委员情况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Borders>
              <w:left w:val="single" w:color="auto" w:sz="4" w:space="0"/>
              <w:right w:val="single" w:color="auto" w:sz="4" w:space="0"/>
            </w:tcBorders>
            <w:vAlign w:val="center"/>
          </w:tcPr>
          <w:p>
            <w:pPr>
              <w:ind w:firstLine="0" w:firstLineChars="0"/>
              <w:jc w:val="center"/>
              <w:rPr>
                <w:rFonts w:ascii="仿宋_GB2312" w:cs="Times New Roman"/>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姓名</w:t>
            </w:r>
          </w:p>
        </w:tc>
        <w:tc>
          <w:tcPr>
            <w:tcW w:w="113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职务</w:t>
            </w:r>
          </w:p>
        </w:tc>
        <w:tc>
          <w:tcPr>
            <w:tcW w:w="3402"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任职时间</w:t>
            </w:r>
          </w:p>
        </w:tc>
        <w:tc>
          <w:tcPr>
            <w:tcW w:w="2694"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Borders>
              <w:left w:val="single" w:color="auto" w:sz="4" w:space="0"/>
              <w:right w:val="single" w:color="auto" w:sz="4" w:space="0"/>
            </w:tcBorders>
            <w:vAlign w:val="center"/>
          </w:tcPr>
          <w:p>
            <w:pPr>
              <w:ind w:firstLine="0" w:firstLineChars="0"/>
              <w:jc w:val="center"/>
              <w:rPr>
                <w:rFonts w:ascii="仿宋_GB2312" w:cs="Times New Roman"/>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3402"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2694"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2" w:type="dxa"/>
            <w:vMerge w:val="continue"/>
            <w:tcBorders>
              <w:left w:val="single" w:color="auto" w:sz="4" w:space="0"/>
              <w:right w:val="single" w:color="auto" w:sz="4" w:space="0"/>
            </w:tcBorders>
            <w:vAlign w:val="center"/>
          </w:tcPr>
          <w:p>
            <w:pPr>
              <w:ind w:firstLine="0" w:firstLineChars="0"/>
              <w:jc w:val="center"/>
              <w:rPr>
                <w:rFonts w:ascii="仿宋_GB2312" w:cs="Times New Roman"/>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3402"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c>
          <w:tcPr>
            <w:tcW w:w="2694"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562" w:type="dxa"/>
            <w:vMerge w:val="continue"/>
            <w:tcBorders>
              <w:left w:val="single" w:color="auto" w:sz="4" w:space="0"/>
              <w:right w:val="single" w:color="auto" w:sz="4" w:space="0"/>
            </w:tcBorders>
            <w:vAlign w:val="center"/>
          </w:tcPr>
          <w:p>
            <w:pPr>
              <w:ind w:firstLine="0" w:firstLineChars="0"/>
              <w:jc w:val="center"/>
              <w:rPr>
                <w:rFonts w:ascii="仿宋_GB2312" w:cs="Times New Roman"/>
                <w:sz w:val="28"/>
                <w:szCs w:val="28"/>
              </w:rPr>
            </w:pPr>
          </w:p>
        </w:tc>
        <w:tc>
          <w:tcPr>
            <w:tcW w:w="2268" w:type="dxa"/>
            <w:gridSpan w:val="2"/>
            <w:vMerge w:val="restart"/>
            <w:tcBorders>
              <w:top w:val="single" w:color="auto" w:sz="4" w:space="0"/>
              <w:left w:val="single" w:color="auto" w:sz="4" w:space="0"/>
              <w:right w:val="single" w:color="auto" w:sz="4" w:space="0"/>
            </w:tcBorders>
            <w:tcMar>
              <w:left w:w="0" w:type="dxa"/>
              <w:right w:w="0" w:type="dxa"/>
            </w:tcMar>
            <w:vAlign w:val="center"/>
          </w:tcPr>
          <w:p>
            <w:pPr>
              <w:ind w:firstLine="0" w:firstLineChars="0"/>
              <w:jc w:val="center"/>
              <w:rPr>
                <w:rFonts w:ascii="仿宋_GB2312" w:cs="Times New Roman"/>
                <w:sz w:val="24"/>
                <w:szCs w:val="24"/>
              </w:rPr>
            </w:pPr>
            <w:r>
              <w:rPr>
                <w:rFonts w:hint="eastAsia" w:ascii="仿宋_GB2312" w:cs="Times New Roman"/>
                <w:sz w:val="24"/>
                <w:szCs w:val="24"/>
              </w:rPr>
              <w:t>2</w:t>
            </w:r>
            <w:r>
              <w:rPr>
                <w:rFonts w:ascii="仿宋_GB2312" w:cs="Times New Roman"/>
                <w:sz w:val="24"/>
                <w:szCs w:val="24"/>
              </w:rPr>
              <w:t>019</w:t>
            </w:r>
          </w:p>
          <w:p>
            <w:pPr>
              <w:ind w:firstLine="0" w:firstLineChars="0"/>
              <w:jc w:val="center"/>
              <w:rPr>
                <w:rFonts w:ascii="仿宋_GB2312" w:cs="Times New Roman"/>
                <w:sz w:val="24"/>
                <w:szCs w:val="24"/>
              </w:rPr>
            </w:pPr>
            <w:r>
              <w:rPr>
                <w:rFonts w:hint="eastAsia" w:ascii="仿宋_GB2312" w:cs="Times New Roman"/>
                <w:sz w:val="24"/>
                <w:szCs w:val="24"/>
              </w:rPr>
              <w:t>“三会两制一课”</w:t>
            </w:r>
          </w:p>
          <w:p>
            <w:pPr>
              <w:ind w:firstLine="0" w:firstLineChars="0"/>
              <w:jc w:val="center"/>
              <w:rPr>
                <w:rFonts w:ascii="仿宋_GB2312" w:cs="Times New Roman"/>
                <w:sz w:val="24"/>
                <w:szCs w:val="24"/>
              </w:rPr>
            </w:pPr>
            <w:r>
              <w:rPr>
                <w:rFonts w:hint="eastAsia" w:ascii="仿宋_GB2312" w:cs="Times New Roman"/>
                <w:sz w:val="24"/>
                <w:szCs w:val="24"/>
              </w:rPr>
              <w:t>开展情况</w:t>
            </w:r>
          </w:p>
        </w:tc>
        <w:tc>
          <w:tcPr>
            <w:tcW w:w="14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支部大会</w:t>
            </w:r>
          </w:p>
          <w:p>
            <w:pPr>
              <w:ind w:firstLine="0" w:firstLineChars="0"/>
              <w:jc w:val="center"/>
              <w:rPr>
                <w:rFonts w:ascii="仿宋_GB2312" w:cs="Times New Roman"/>
                <w:sz w:val="24"/>
                <w:szCs w:val="24"/>
              </w:rPr>
            </w:pPr>
            <w:r>
              <w:rPr>
                <w:rFonts w:hint="eastAsia" w:ascii="仿宋_GB2312" w:cs="Times New Roman"/>
                <w:sz w:val="24"/>
                <w:szCs w:val="24"/>
              </w:rPr>
              <w:t>召开次数</w:t>
            </w:r>
          </w:p>
        </w:tc>
        <w:tc>
          <w:tcPr>
            <w:tcW w:w="1424"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团支部委员会召开次数</w:t>
            </w:r>
          </w:p>
        </w:tc>
        <w:tc>
          <w:tcPr>
            <w:tcW w:w="1142"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仿宋_GB2312" w:cs="Times New Roman"/>
                <w:sz w:val="24"/>
                <w:szCs w:val="24"/>
              </w:rPr>
            </w:pPr>
            <w:r>
              <w:rPr>
                <w:rFonts w:hint="eastAsia" w:ascii="仿宋_GB2312" w:cs="Times New Roman"/>
                <w:sz w:val="24"/>
                <w:szCs w:val="24"/>
              </w:rPr>
              <w:t>团小组会召开次数</w:t>
            </w:r>
          </w:p>
        </w:tc>
        <w:tc>
          <w:tcPr>
            <w:tcW w:w="1119"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仿宋_GB2312" w:cs="Times New Roman"/>
                <w:sz w:val="24"/>
                <w:szCs w:val="24"/>
              </w:rPr>
            </w:pPr>
            <w:r>
              <w:rPr>
                <w:rFonts w:hint="eastAsia" w:ascii="仿宋_GB2312" w:cs="Times New Roman"/>
                <w:sz w:val="24"/>
                <w:szCs w:val="24"/>
              </w:rPr>
              <w:t>“两制”开展情况</w:t>
            </w:r>
          </w:p>
        </w:tc>
        <w:tc>
          <w:tcPr>
            <w:tcW w:w="993"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仿宋_GB2312" w:cs="Times New Roman"/>
                <w:sz w:val="24"/>
                <w:szCs w:val="24"/>
              </w:rPr>
            </w:pPr>
            <w:r>
              <w:rPr>
                <w:rFonts w:hint="eastAsia" w:ascii="仿宋_GB2312" w:cs="Times New Roman"/>
                <w:sz w:val="24"/>
                <w:szCs w:val="24"/>
              </w:rPr>
              <w:t>团课</w:t>
            </w:r>
          </w:p>
          <w:p>
            <w:pPr>
              <w:ind w:firstLine="0" w:firstLineChars="0"/>
              <w:jc w:val="center"/>
              <w:rPr>
                <w:rFonts w:ascii="仿宋_GB2312" w:cs="Times New Roman"/>
                <w:sz w:val="24"/>
                <w:szCs w:val="24"/>
              </w:rPr>
            </w:pPr>
            <w:r>
              <w:rPr>
                <w:rFonts w:hint="eastAsia" w:ascii="仿宋_GB2312" w:cs="Times New Roman"/>
                <w:sz w:val="24"/>
                <w:szCs w:val="24"/>
              </w:rPr>
              <w:t>开展次数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62" w:type="dxa"/>
            <w:vMerge w:val="continue"/>
            <w:tcBorders>
              <w:left w:val="single" w:color="auto" w:sz="4" w:space="0"/>
              <w:right w:val="single" w:color="auto" w:sz="4" w:space="0"/>
            </w:tcBorders>
            <w:vAlign w:val="center"/>
          </w:tcPr>
          <w:p>
            <w:pPr>
              <w:ind w:firstLine="0" w:firstLineChars="0"/>
              <w:rPr>
                <w:rFonts w:ascii="仿宋_GB2312" w:cs="Times New Roman"/>
                <w:sz w:val="28"/>
                <w:szCs w:val="28"/>
              </w:rPr>
            </w:pPr>
          </w:p>
        </w:tc>
        <w:tc>
          <w:tcPr>
            <w:tcW w:w="2268" w:type="dxa"/>
            <w:gridSpan w:val="2"/>
            <w:vMerge w:val="continue"/>
            <w:tcBorders>
              <w:left w:val="single" w:color="auto" w:sz="4" w:space="0"/>
              <w:right w:val="single" w:color="auto" w:sz="4" w:space="0"/>
            </w:tcBorders>
            <w:vAlign w:val="center"/>
          </w:tcPr>
          <w:p>
            <w:pPr>
              <w:ind w:firstLine="0" w:firstLineChars="0"/>
              <w:rPr>
                <w:rFonts w:ascii="仿宋_GB2312"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c>
          <w:tcPr>
            <w:tcW w:w="1424"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c>
          <w:tcPr>
            <w:tcW w:w="114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562" w:type="dxa"/>
            <w:vMerge w:val="continue"/>
            <w:tcBorders>
              <w:left w:val="single" w:color="auto" w:sz="4" w:space="0"/>
              <w:right w:val="single" w:color="auto" w:sz="4" w:space="0"/>
            </w:tcBorders>
            <w:vAlign w:val="center"/>
          </w:tcPr>
          <w:p>
            <w:pPr>
              <w:ind w:firstLine="0" w:firstLineChars="0"/>
              <w:rPr>
                <w:rFonts w:ascii="仿宋_GB2312" w:cs="Times New Roman"/>
                <w:sz w:val="28"/>
                <w:szCs w:val="28"/>
              </w:rPr>
            </w:pPr>
          </w:p>
        </w:tc>
        <w:tc>
          <w:tcPr>
            <w:tcW w:w="2268" w:type="dxa"/>
            <w:gridSpan w:val="2"/>
            <w:tcBorders>
              <w:left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团支部整理整顿工作是否完成自查</w:t>
            </w:r>
          </w:p>
        </w:tc>
        <w:tc>
          <w:tcPr>
            <w:tcW w:w="141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c>
          <w:tcPr>
            <w:tcW w:w="3685"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是否列入重点整顿团支部</w:t>
            </w:r>
          </w:p>
        </w:tc>
        <w:tc>
          <w:tcPr>
            <w:tcW w:w="993"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562" w:type="dxa"/>
            <w:vMerge w:val="continue"/>
            <w:tcBorders>
              <w:left w:val="single" w:color="auto" w:sz="4" w:space="0"/>
              <w:right w:val="single" w:color="auto" w:sz="4" w:space="0"/>
            </w:tcBorders>
            <w:vAlign w:val="center"/>
          </w:tcPr>
          <w:p>
            <w:pPr>
              <w:ind w:firstLine="0" w:firstLineChars="0"/>
              <w:rPr>
                <w:rFonts w:ascii="仿宋_GB2312" w:cs="Times New Roman"/>
                <w:sz w:val="28"/>
                <w:szCs w:val="28"/>
              </w:rPr>
            </w:pPr>
          </w:p>
        </w:tc>
        <w:tc>
          <w:tcPr>
            <w:tcW w:w="2268" w:type="dxa"/>
            <w:gridSpan w:val="2"/>
            <w:vMerge w:val="restart"/>
            <w:tcBorders>
              <w:top w:val="single" w:color="auto" w:sz="4" w:space="0"/>
              <w:left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2019年</w:t>
            </w:r>
          </w:p>
          <w:p>
            <w:pPr>
              <w:ind w:firstLine="0" w:firstLineChars="0"/>
              <w:jc w:val="center"/>
              <w:rPr>
                <w:rFonts w:ascii="仿宋_GB2312" w:cs="Times New Roman"/>
                <w:sz w:val="24"/>
                <w:szCs w:val="24"/>
              </w:rPr>
            </w:pPr>
            <w:r>
              <w:rPr>
                <w:rFonts w:hint="eastAsia" w:ascii="仿宋_GB2312" w:cs="Times New Roman"/>
                <w:sz w:val="24"/>
                <w:szCs w:val="24"/>
              </w:rPr>
              <w:t>团日活动开展情况</w:t>
            </w:r>
          </w:p>
        </w:tc>
        <w:tc>
          <w:tcPr>
            <w:tcW w:w="141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开展次数</w:t>
            </w:r>
          </w:p>
        </w:tc>
        <w:tc>
          <w:tcPr>
            <w:tcW w:w="2566"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团日活动</w:t>
            </w:r>
          </w:p>
          <w:p>
            <w:pPr>
              <w:ind w:firstLine="0" w:firstLineChars="0"/>
              <w:jc w:val="center"/>
              <w:rPr>
                <w:rFonts w:ascii="仿宋_GB2312" w:cs="Times New Roman"/>
                <w:sz w:val="24"/>
                <w:szCs w:val="24"/>
              </w:rPr>
            </w:pPr>
            <w:r>
              <w:rPr>
                <w:rFonts w:hint="eastAsia" w:ascii="仿宋_GB2312" w:cs="Times New Roman"/>
                <w:sz w:val="24"/>
                <w:szCs w:val="24"/>
              </w:rPr>
              <w:t>平均参与率</w:t>
            </w:r>
          </w:p>
        </w:tc>
        <w:tc>
          <w:tcPr>
            <w:tcW w:w="211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活动经费总数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62" w:type="dxa"/>
            <w:vMerge w:val="continue"/>
            <w:tcBorders>
              <w:left w:val="single" w:color="auto" w:sz="4" w:space="0"/>
              <w:right w:val="single" w:color="auto" w:sz="4" w:space="0"/>
            </w:tcBorders>
            <w:vAlign w:val="center"/>
          </w:tcPr>
          <w:p>
            <w:pPr>
              <w:ind w:firstLine="0" w:firstLineChars="0"/>
              <w:rPr>
                <w:rFonts w:ascii="仿宋_GB2312" w:cs="Times New Roman"/>
                <w:sz w:val="28"/>
                <w:szCs w:val="28"/>
              </w:rPr>
            </w:pPr>
          </w:p>
        </w:tc>
        <w:tc>
          <w:tcPr>
            <w:tcW w:w="2268" w:type="dxa"/>
            <w:gridSpan w:val="2"/>
            <w:vMerge w:val="continue"/>
            <w:tcBorders>
              <w:left w:val="single" w:color="auto" w:sz="4" w:space="0"/>
              <w:right w:val="single" w:color="auto" w:sz="4" w:space="0"/>
            </w:tcBorders>
            <w:vAlign w:val="center"/>
          </w:tcPr>
          <w:p>
            <w:pPr>
              <w:ind w:firstLine="480"/>
              <w:jc w:val="center"/>
              <w:rPr>
                <w:rFonts w:ascii="仿宋_GB2312" w:cs="Times New Roman"/>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c>
          <w:tcPr>
            <w:tcW w:w="2566"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c>
          <w:tcPr>
            <w:tcW w:w="211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62" w:type="dxa"/>
            <w:vMerge w:val="continue"/>
            <w:tcBorders>
              <w:left w:val="single" w:color="auto" w:sz="4" w:space="0"/>
              <w:right w:val="single" w:color="auto" w:sz="4" w:space="0"/>
            </w:tcBorders>
            <w:vAlign w:val="center"/>
          </w:tcPr>
          <w:p>
            <w:pPr>
              <w:ind w:firstLine="0" w:firstLineChars="0"/>
              <w:rPr>
                <w:rFonts w:ascii="仿宋_GB2312" w:cs="Times New Roman"/>
                <w:sz w:val="28"/>
                <w:szCs w:val="28"/>
              </w:rPr>
            </w:pPr>
          </w:p>
        </w:tc>
        <w:tc>
          <w:tcPr>
            <w:tcW w:w="2268" w:type="dxa"/>
            <w:gridSpan w:val="2"/>
            <w:vMerge w:val="continue"/>
            <w:tcBorders>
              <w:left w:val="single" w:color="auto" w:sz="4" w:space="0"/>
              <w:bottom w:val="single" w:color="auto" w:sz="4" w:space="0"/>
              <w:right w:val="single" w:color="auto" w:sz="4" w:space="0"/>
            </w:tcBorders>
            <w:vAlign w:val="center"/>
          </w:tcPr>
          <w:p>
            <w:pPr>
              <w:ind w:firstLine="480"/>
              <w:jc w:val="center"/>
              <w:rPr>
                <w:rFonts w:ascii="仿宋_GB2312" w:cs="Times New Roman"/>
                <w:sz w:val="24"/>
                <w:szCs w:val="24"/>
              </w:rPr>
            </w:pPr>
          </w:p>
        </w:tc>
        <w:tc>
          <w:tcPr>
            <w:tcW w:w="3984" w:type="dxa"/>
            <w:gridSpan w:val="4"/>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cs="Times New Roman"/>
                <w:sz w:val="24"/>
                <w:szCs w:val="24"/>
              </w:rPr>
            </w:pPr>
            <w:r>
              <w:rPr>
                <w:rFonts w:hint="eastAsia" w:ascii="仿宋_GB2312" w:cs="Times New Roman"/>
                <w:sz w:val="24"/>
                <w:szCs w:val="24"/>
              </w:rPr>
              <w:t>媒体报道次数（国家/省/校/院）</w:t>
            </w:r>
          </w:p>
          <w:p>
            <w:pPr>
              <w:ind w:firstLine="0" w:firstLineChars="0"/>
              <w:jc w:val="center"/>
              <w:rPr>
                <w:rFonts w:ascii="仿宋_GB2312" w:cs="Times New Roman"/>
                <w:sz w:val="24"/>
                <w:szCs w:val="24"/>
              </w:rPr>
            </w:pPr>
            <w:r>
              <w:rPr>
                <w:rFonts w:hint="eastAsia" w:ascii="仿宋_GB2312" w:cs="Times New Roman"/>
                <w:sz w:val="24"/>
                <w:szCs w:val="24"/>
              </w:rPr>
              <w:t>（链接附页）</w:t>
            </w:r>
          </w:p>
        </w:tc>
        <w:tc>
          <w:tcPr>
            <w:tcW w:w="2112"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4" w:hRule="atLeast"/>
          <w:jc w:val="center"/>
        </w:trPr>
        <w:tc>
          <w:tcPr>
            <w:tcW w:w="1696"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黑体" w:hAnsi="黑体" w:eastAsia="黑体" w:cs="Times New Roman"/>
                <w:szCs w:val="30"/>
              </w:rPr>
            </w:pPr>
            <w:r>
              <w:rPr>
                <w:rFonts w:hint="eastAsia" w:ascii="黑体" w:hAnsi="黑体" w:eastAsia="黑体" w:cs="Times New Roman"/>
                <w:szCs w:val="30"/>
              </w:rPr>
              <w:t>团</w:t>
            </w:r>
          </w:p>
          <w:p>
            <w:pPr>
              <w:ind w:firstLine="0" w:firstLineChars="0"/>
              <w:jc w:val="center"/>
              <w:rPr>
                <w:rFonts w:ascii="黑体" w:hAnsi="黑体" w:eastAsia="黑体" w:cs="Times New Roman"/>
                <w:szCs w:val="30"/>
              </w:rPr>
            </w:pPr>
            <w:r>
              <w:rPr>
                <w:rFonts w:hint="eastAsia" w:ascii="黑体" w:hAnsi="黑体" w:eastAsia="黑体" w:cs="Times New Roman"/>
                <w:szCs w:val="30"/>
              </w:rPr>
              <w:t>支</w:t>
            </w:r>
          </w:p>
          <w:p>
            <w:pPr>
              <w:ind w:firstLine="0" w:firstLineChars="0"/>
              <w:jc w:val="center"/>
              <w:rPr>
                <w:rFonts w:ascii="黑体" w:hAnsi="黑体" w:eastAsia="黑体" w:cs="Times New Roman"/>
                <w:szCs w:val="30"/>
              </w:rPr>
            </w:pPr>
            <w:r>
              <w:rPr>
                <w:rFonts w:hint="eastAsia" w:ascii="黑体" w:hAnsi="黑体" w:eastAsia="黑体" w:cs="Times New Roman"/>
                <w:szCs w:val="30"/>
              </w:rPr>
              <w:t>部</w:t>
            </w:r>
          </w:p>
          <w:p>
            <w:pPr>
              <w:ind w:firstLine="0" w:firstLineChars="0"/>
              <w:jc w:val="center"/>
              <w:rPr>
                <w:rFonts w:ascii="黑体" w:hAnsi="黑体" w:eastAsia="黑体" w:cs="Times New Roman"/>
                <w:szCs w:val="30"/>
              </w:rPr>
            </w:pPr>
            <w:r>
              <w:rPr>
                <w:rFonts w:hint="eastAsia" w:ascii="黑体" w:hAnsi="黑体" w:eastAsia="黑体" w:cs="Times New Roman"/>
                <w:szCs w:val="30"/>
              </w:rPr>
              <w:t>近</w:t>
            </w:r>
          </w:p>
          <w:p>
            <w:pPr>
              <w:ind w:firstLine="0" w:firstLineChars="0"/>
              <w:jc w:val="center"/>
              <w:rPr>
                <w:rFonts w:ascii="黑体" w:hAnsi="黑体" w:eastAsia="黑体" w:cs="Times New Roman"/>
                <w:szCs w:val="30"/>
              </w:rPr>
            </w:pPr>
            <w:r>
              <w:rPr>
                <w:rFonts w:hint="eastAsia" w:ascii="黑体" w:hAnsi="黑体" w:eastAsia="黑体" w:cs="Times New Roman"/>
                <w:szCs w:val="30"/>
              </w:rPr>
              <w:t>一</w:t>
            </w:r>
          </w:p>
          <w:p>
            <w:pPr>
              <w:ind w:firstLine="0" w:firstLineChars="0"/>
              <w:jc w:val="center"/>
              <w:rPr>
                <w:rFonts w:ascii="黑体" w:hAnsi="黑体" w:eastAsia="黑体" w:cs="Times New Roman"/>
                <w:szCs w:val="30"/>
              </w:rPr>
            </w:pPr>
            <w:r>
              <w:rPr>
                <w:rFonts w:hint="eastAsia" w:ascii="黑体" w:hAnsi="黑体" w:eastAsia="黑体" w:cs="Times New Roman"/>
                <w:szCs w:val="30"/>
              </w:rPr>
              <w:t>年</w:t>
            </w:r>
          </w:p>
          <w:p>
            <w:pPr>
              <w:ind w:firstLine="0" w:firstLineChars="0"/>
              <w:jc w:val="center"/>
              <w:rPr>
                <w:rFonts w:ascii="黑体" w:hAnsi="黑体" w:eastAsia="黑体" w:cs="Times New Roman"/>
                <w:szCs w:val="30"/>
              </w:rPr>
            </w:pPr>
            <w:r>
              <w:rPr>
                <w:rFonts w:hint="eastAsia" w:ascii="黑体" w:hAnsi="黑体" w:eastAsia="黑体" w:cs="Times New Roman"/>
                <w:szCs w:val="30"/>
              </w:rPr>
              <w:t>所</w:t>
            </w:r>
          </w:p>
          <w:p>
            <w:pPr>
              <w:ind w:firstLine="0" w:firstLineChars="0"/>
              <w:jc w:val="center"/>
              <w:rPr>
                <w:rFonts w:ascii="黑体" w:hAnsi="黑体" w:eastAsia="黑体" w:cs="Times New Roman"/>
                <w:szCs w:val="30"/>
              </w:rPr>
            </w:pPr>
            <w:r>
              <w:rPr>
                <w:rFonts w:hint="eastAsia" w:ascii="黑体" w:hAnsi="黑体" w:eastAsia="黑体" w:cs="Times New Roman"/>
                <w:szCs w:val="30"/>
              </w:rPr>
              <w:t>获</w:t>
            </w:r>
          </w:p>
          <w:p>
            <w:pPr>
              <w:ind w:firstLine="0" w:firstLineChars="0"/>
              <w:jc w:val="center"/>
              <w:rPr>
                <w:rFonts w:ascii="黑体" w:hAnsi="黑体" w:eastAsia="黑体" w:cs="Times New Roman"/>
                <w:szCs w:val="30"/>
              </w:rPr>
            </w:pPr>
            <w:r>
              <w:rPr>
                <w:rFonts w:hint="eastAsia" w:ascii="黑体" w:hAnsi="黑体" w:eastAsia="黑体" w:cs="Times New Roman"/>
                <w:szCs w:val="30"/>
              </w:rPr>
              <w:t>荣</w:t>
            </w:r>
          </w:p>
          <w:p>
            <w:pPr>
              <w:ind w:firstLine="0" w:firstLineChars="0"/>
              <w:jc w:val="center"/>
              <w:rPr>
                <w:rFonts w:ascii="黑体" w:hAnsi="黑体" w:eastAsia="黑体" w:cs="Times New Roman"/>
                <w:szCs w:val="30"/>
              </w:rPr>
            </w:pPr>
            <w:r>
              <w:rPr>
                <w:rFonts w:hint="eastAsia" w:ascii="黑体" w:hAnsi="黑体" w:eastAsia="黑体" w:cs="Times New Roman"/>
                <w:szCs w:val="30"/>
              </w:rPr>
              <w:t>誉</w:t>
            </w:r>
          </w:p>
        </w:tc>
        <w:tc>
          <w:tcPr>
            <w:tcW w:w="7230" w:type="dxa"/>
            <w:gridSpan w:val="7"/>
            <w:tcBorders>
              <w:top w:val="single" w:color="auto" w:sz="4" w:space="0"/>
              <w:left w:val="single" w:color="auto" w:sz="4" w:space="0"/>
              <w:bottom w:val="single" w:color="auto" w:sz="4" w:space="0"/>
              <w:right w:val="single" w:color="auto" w:sz="4" w:space="0"/>
            </w:tcBorders>
            <w:vAlign w:val="center"/>
          </w:tcPr>
          <w:p>
            <w:pPr>
              <w:ind w:firstLine="0" w:firstLineChars="0"/>
              <w:rPr>
                <w:rFonts w:ascii="仿宋_GB2312" w:cs="Times New Roman"/>
                <w:sz w:val="24"/>
                <w:szCs w:val="24"/>
              </w:rPr>
            </w:pPr>
            <w:r>
              <w:rPr>
                <w:rFonts w:hint="eastAsia" w:ascii="仿宋_GB2312" w:cs="Times New Roman"/>
                <w:sz w:val="24"/>
                <w:szCs w:val="24"/>
              </w:rPr>
              <w:t>（证明材料附页）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jc w:val="center"/>
        </w:trPr>
        <w:tc>
          <w:tcPr>
            <w:tcW w:w="1696"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仿宋_GB2312" w:cs="Times New Roman"/>
                <w:sz w:val="24"/>
                <w:szCs w:val="24"/>
              </w:rPr>
            </w:pPr>
            <w:r>
              <w:rPr>
                <w:rFonts w:hint="eastAsia" w:ascii="仿宋_GB2312" w:cs="Times New Roman"/>
                <w:sz w:val="24"/>
                <w:szCs w:val="24"/>
              </w:rPr>
              <w:t>辅导员或相关单位负责人评价</w:t>
            </w:r>
          </w:p>
        </w:tc>
        <w:tc>
          <w:tcPr>
            <w:tcW w:w="7230" w:type="dxa"/>
            <w:gridSpan w:val="7"/>
            <w:tcBorders>
              <w:top w:val="single" w:color="auto" w:sz="4" w:space="0"/>
              <w:left w:val="single" w:color="auto" w:sz="4" w:space="0"/>
              <w:bottom w:val="single" w:color="auto" w:sz="4" w:space="0"/>
              <w:right w:val="single" w:color="auto" w:sz="4" w:space="0"/>
            </w:tcBorders>
          </w:tcPr>
          <w:p>
            <w:pPr>
              <w:ind w:firstLine="0" w:firstLineChars="0"/>
              <w:rPr>
                <w:rFonts w:ascii="仿宋_GB2312" w:cs="Times New Roman"/>
                <w:sz w:val="24"/>
                <w:szCs w:val="24"/>
              </w:rPr>
            </w:pPr>
          </w:p>
          <w:p>
            <w:pPr>
              <w:ind w:firstLine="0" w:firstLineChars="0"/>
              <w:rPr>
                <w:rFonts w:ascii="仿宋_GB2312" w:cs="Times New Roman"/>
                <w:sz w:val="24"/>
                <w:szCs w:val="24"/>
              </w:rPr>
            </w:pPr>
          </w:p>
          <w:p>
            <w:pPr>
              <w:wordWrap w:val="0"/>
              <w:ind w:firstLine="0" w:firstLineChars="0"/>
              <w:jc w:val="right"/>
              <w:rPr>
                <w:rFonts w:ascii="仿宋_GB2312" w:cs="Times New Roman"/>
                <w:sz w:val="24"/>
                <w:szCs w:val="24"/>
              </w:rPr>
            </w:pPr>
            <w:r>
              <w:rPr>
                <w:rFonts w:hint="eastAsia" w:ascii="仿宋_GB2312" w:cs="Times New Roman"/>
                <w:sz w:val="24"/>
                <w:szCs w:val="24"/>
              </w:rPr>
              <w:t>辅导员（相关单位负责人）签名：</w:t>
            </w:r>
            <w:r>
              <w:rPr>
                <w:rFonts w:ascii="仿宋_GB2312" w:cs="Times New Roman"/>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9" w:hRule="atLeast"/>
          <w:jc w:val="center"/>
        </w:trPr>
        <w:tc>
          <w:tcPr>
            <w:tcW w:w="1696" w:type="dxa"/>
            <w:gridSpan w:val="2"/>
            <w:tcBorders>
              <w:top w:val="single" w:color="auto" w:sz="4" w:space="0"/>
              <w:left w:val="single" w:color="auto" w:sz="4" w:space="0"/>
              <w:bottom w:val="single" w:color="auto" w:sz="4" w:space="0"/>
              <w:right w:val="single" w:color="auto" w:sz="4" w:space="0"/>
            </w:tcBorders>
            <w:tcMar>
              <w:left w:w="0" w:type="dxa"/>
              <w:right w:w="0" w:type="dxa"/>
            </w:tcMar>
            <w:vAlign w:val="center"/>
          </w:tcPr>
          <w:p>
            <w:pPr>
              <w:ind w:firstLine="0" w:firstLineChars="0"/>
              <w:jc w:val="center"/>
              <w:rPr>
                <w:rFonts w:ascii="仿宋_GB2312" w:cs="Times New Roman"/>
                <w:sz w:val="24"/>
                <w:szCs w:val="24"/>
              </w:rPr>
            </w:pPr>
            <w:r>
              <w:rPr>
                <w:rFonts w:hint="eastAsia" w:ascii="仿宋_GB2312" w:cs="Times New Roman"/>
                <w:sz w:val="24"/>
                <w:szCs w:val="24"/>
              </w:rPr>
              <w:t>学院团委或相关单位意见</w:t>
            </w:r>
          </w:p>
        </w:tc>
        <w:tc>
          <w:tcPr>
            <w:tcW w:w="7230" w:type="dxa"/>
            <w:gridSpan w:val="7"/>
            <w:tcBorders>
              <w:top w:val="single" w:color="auto" w:sz="4" w:space="0"/>
              <w:left w:val="single" w:color="auto" w:sz="4" w:space="0"/>
              <w:bottom w:val="single" w:color="auto" w:sz="4" w:space="0"/>
              <w:right w:val="single" w:color="auto" w:sz="4" w:space="0"/>
            </w:tcBorders>
            <w:vAlign w:val="center"/>
          </w:tcPr>
          <w:p>
            <w:pPr>
              <w:ind w:firstLine="0" w:firstLineChars="0"/>
              <w:jc w:val="right"/>
              <w:rPr>
                <w:rFonts w:ascii="仿宋_GB2312" w:cs="Times New Roman"/>
                <w:sz w:val="24"/>
                <w:szCs w:val="24"/>
              </w:rPr>
            </w:pPr>
          </w:p>
          <w:p>
            <w:pPr>
              <w:ind w:firstLine="0" w:firstLineChars="0"/>
              <w:jc w:val="right"/>
              <w:rPr>
                <w:rFonts w:ascii="仿宋_GB2312" w:cs="Times New Roman"/>
                <w:sz w:val="24"/>
                <w:szCs w:val="24"/>
              </w:rPr>
            </w:pPr>
          </w:p>
          <w:p>
            <w:pPr>
              <w:ind w:firstLine="0" w:firstLineChars="0"/>
              <w:jc w:val="right"/>
              <w:rPr>
                <w:rFonts w:ascii="仿宋_GB2312" w:cs="Times New Roman"/>
                <w:sz w:val="24"/>
                <w:szCs w:val="24"/>
              </w:rPr>
            </w:pPr>
          </w:p>
          <w:p>
            <w:pPr>
              <w:ind w:firstLine="0" w:firstLineChars="0"/>
              <w:jc w:val="right"/>
              <w:rPr>
                <w:rFonts w:ascii="仿宋_GB2312" w:cs="Times New Roman"/>
                <w:sz w:val="24"/>
                <w:szCs w:val="24"/>
              </w:rPr>
            </w:pPr>
            <w:r>
              <w:rPr>
                <w:rFonts w:hint="eastAsia" w:ascii="仿宋_GB2312" w:cs="Times New Roman"/>
                <w:sz w:val="24"/>
                <w:szCs w:val="24"/>
              </w:rPr>
              <w:t xml:space="preserve">（盖 </w:t>
            </w:r>
            <w:r>
              <w:rPr>
                <w:rFonts w:ascii="仿宋_GB2312" w:cs="Times New Roman"/>
                <w:sz w:val="24"/>
                <w:szCs w:val="24"/>
              </w:rPr>
              <w:t xml:space="preserve"> </w:t>
            </w:r>
            <w:r>
              <w:rPr>
                <w:rFonts w:hint="eastAsia" w:ascii="仿宋_GB2312" w:cs="Times New Roman"/>
                <w:sz w:val="24"/>
                <w:szCs w:val="24"/>
              </w:rPr>
              <w:t>章）</w:t>
            </w:r>
          </w:p>
          <w:p>
            <w:pPr>
              <w:ind w:firstLine="0" w:firstLineChars="0"/>
              <w:jc w:val="right"/>
              <w:rPr>
                <w:rFonts w:ascii="仿宋_GB2312" w:cs="Times New Roman"/>
                <w:sz w:val="24"/>
                <w:szCs w:val="24"/>
              </w:rPr>
            </w:pPr>
            <w:r>
              <w:rPr>
                <w:rFonts w:hint="eastAsia" w:ascii="仿宋_GB2312" w:cs="Times New Roman"/>
                <w:sz w:val="24"/>
                <w:szCs w:val="24"/>
              </w:rPr>
              <w:t xml:space="preserve">年 </w:t>
            </w:r>
            <w:r>
              <w:rPr>
                <w:rFonts w:ascii="仿宋_GB2312" w:cs="Times New Roman"/>
                <w:sz w:val="24"/>
                <w:szCs w:val="24"/>
              </w:rPr>
              <w:t xml:space="preserve">   </w:t>
            </w:r>
            <w:r>
              <w:rPr>
                <w:rFonts w:hint="eastAsia" w:ascii="仿宋_GB2312" w:cs="Times New Roman"/>
                <w:sz w:val="24"/>
                <w:szCs w:val="24"/>
              </w:rPr>
              <w:t xml:space="preserve">月 </w:t>
            </w:r>
            <w:r>
              <w:rPr>
                <w:rFonts w:ascii="仿宋_GB2312" w:cs="Times New Roman"/>
                <w:sz w:val="24"/>
                <w:szCs w:val="24"/>
              </w:rPr>
              <w:t xml:space="preserve">   </w:t>
            </w:r>
            <w:r>
              <w:rPr>
                <w:rFonts w:hint="eastAsia" w:ascii="仿宋_GB2312" w:cs="Times New Roman"/>
                <w:sz w:val="24"/>
                <w:szCs w:val="24"/>
              </w:rPr>
              <w:t>日</w:t>
            </w:r>
          </w:p>
        </w:tc>
      </w:tr>
    </w:tbl>
    <w:p>
      <w:pPr>
        <w:ind w:right="900" w:rightChars="300" w:firstLine="0" w:firstLineChars="0"/>
        <w:rPr>
          <w:rFonts w:ascii="仿宋_GB2312" w:hAnsi="仿宋" w:cs="Times New Roman"/>
          <w:color w:val="000000"/>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425" w:num="1"/>
          <w:docGrid w:type="lines" w:linePitch="408" w:charSpace="0"/>
        </w:sectPr>
      </w:pPr>
      <w:bookmarkStart w:id="3" w:name="_GoBack"/>
      <w:bookmarkEnd w:id="3"/>
    </w:p>
    <w:p>
      <w:pPr>
        <w:ind w:left="0" w:leftChars="0" w:firstLine="0" w:firstLineChars="0"/>
        <w:jc w:val="both"/>
        <w:rPr>
          <w:rFonts w:ascii="仿宋_GB2312"/>
          <w:sz w:val="28"/>
          <w:szCs w:val="28"/>
        </w:rPr>
      </w:pPr>
    </w:p>
    <w:sectPr>
      <w:pgSz w:w="16838" w:h="11906" w:orient="landscape"/>
      <w:pgMar w:top="1800" w:right="1440" w:bottom="1800" w:left="1440" w:header="851" w:footer="992" w:gutter="0"/>
      <w:pgNumType w:start="1"/>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Chars="1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37C"/>
    <w:rsid w:val="00015386"/>
    <w:rsid w:val="000329D1"/>
    <w:rsid w:val="00032EAE"/>
    <w:rsid w:val="00033D61"/>
    <w:rsid w:val="00036667"/>
    <w:rsid w:val="00063887"/>
    <w:rsid w:val="0007473D"/>
    <w:rsid w:val="000A4B30"/>
    <w:rsid w:val="000B17AA"/>
    <w:rsid w:val="000C7CC7"/>
    <w:rsid w:val="000E17AF"/>
    <w:rsid w:val="000E4442"/>
    <w:rsid w:val="00112369"/>
    <w:rsid w:val="001149F0"/>
    <w:rsid w:val="00136C61"/>
    <w:rsid w:val="00173132"/>
    <w:rsid w:val="001734AD"/>
    <w:rsid w:val="00174030"/>
    <w:rsid w:val="0017620A"/>
    <w:rsid w:val="00176984"/>
    <w:rsid w:val="001B09D9"/>
    <w:rsid w:val="001B25A7"/>
    <w:rsid w:val="001C6D21"/>
    <w:rsid w:val="001C7F35"/>
    <w:rsid w:val="001D096E"/>
    <w:rsid w:val="001F1BBC"/>
    <w:rsid w:val="001F512B"/>
    <w:rsid w:val="001F69DA"/>
    <w:rsid w:val="00215D9E"/>
    <w:rsid w:val="002355CE"/>
    <w:rsid w:val="002430DF"/>
    <w:rsid w:val="002469AC"/>
    <w:rsid w:val="00275BBF"/>
    <w:rsid w:val="00282C08"/>
    <w:rsid w:val="002A3FAF"/>
    <w:rsid w:val="002B05A7"/>
    <w:rsid w:val="002B46B6"/>
    <w:rsid w:val="002C1F8C"/>
    <w:rsid w:val="002D14FB"/>
    <w:rsid w:val="002E2904"/>
    <w:rsid w:val="002F0150"/>
    <w:rsid w:val="002F51CB"/>
    <w:rsid w:val="00323818"/>
    <w:rsid w:val="00324EB2"/>
    <w:rsid w:val="0039641F"/>
    <w:rsid w:val="003A7A9C"/>
    <w:rsid w:val="003B51B1"/>
    <w:rsid w:val="003D0944"/>
    <w:rsid w:val="004010BE"/>
    <w:rsid w:val="0044291E"/>
    <w:rsid w:val="00464FE1"/>
    <w:rsid w:val="00466B41"/>
    <w:rsid w:val="0048294B"/>
    <w:rsid w:val="004A1C34"/>
    <w:rsid w:val="004A4F2C"/>
    <w:rsid w:val="004A7E29"/>
    <w:rsid w:val="004B4F51"/>
    <w:rsid w:val="004C0F81"/>
    <w:rsid w:val="004C37CE"/>
    <w:rsid w:val="004C7147"/>
    <w:rsid w:val="004D02C9"/>
    <w:rsid w:val="004D1FD1"/>
    <w:rsid w:val="004D74CE"/>
    <w:rsid w:val="00500893"/>
    <w:rsid w:val="00532E52"/>
    <w:rsid w:val="00535CED"/>
    <w:rsid w:val="00556FF9"/>
    <w:rsid w:val="00581BC0"/>
    <w:rsid w:val="005829BA"/>
    <w:rsid w:val="00596422"/>
    <w:rsid w:val="005A3ED7"/>
    <w:rsid w:val="005F2CD3"/>
    <w:rsid w:val="00612CB4"/>
    <w:rsid w:val="00617B5C"/>
    <w:rsid w:val="00632310"/>
    <w:rsid w:val="006815B4"/>
    <w:rsid w:val="006825F0"/>
    <w:rsid w:val="006A0101"/>
    <w:rsid w:val="006C077A"/>
    <w:rsid w:val="006C0F1C"/>
    <w:rsid w:val="006D0051"/>
    <w:rsid w:val="006E181B"/>
    <w:rsid w:val="00736891"/>
    <w:rsid w:val="0075518C"/>
    <w:rsid w:val="007622E3"/>
    <w:rsid w:val="00782B49"/>
    <w:rsid w:val="00793301"/>
    <w:rsid w:val="007A2C00"/>
    <w:rsid w:val="007C463F"/>
    <w:rsid w:val="00814C2F"/>
    <w:rsid w:val="00830117"/>
    <w:rsid w:val="00847793"/>
    <w:rsid w:val="008B5373"/>
    <w:rsid w:val="008C04CC"/>
    <w:rsid w:val="008D6C52"/>
    <w:rsid w:val="008E4D33"/>
    <w:rsid w:val="009173DB"/>
    <w:rsid w:val="00923119"/>
    <w:rsid w:val="00930413"/>
    <w:rsid w:val="00933AA4"/>
    <w:rsid w:val="0094130D"/>
    <w:rsid w:val="009477E3"/>
    <w:rsid w:val="00961F1A"/>
    <w:rsid w:val="009A0065"/>
    <w:rsid w:val="009A4A70"/>
    <w:rsid w:val="009C6773"/>
    <w:rsid w:val="009F5D39"/>
    <w:rsid w:val="00A00B9D"/>
    <w:rsid w:val="00A21EBE"/>
    <w:rsid w:val="00A35B62"/>
    <w:rsid w:val="00A614BA"/>
    <w:rsid w:val="00A64060"/>
    <w:rsid w:val="00A8096B"/>
    <w:rsid w:val="00A8141B"/>
    <w:rsid w:val="00A87872"/>
    <w:rsid w:val="00AA6B76"/>
    <w:rsid w:val="00AA774D"/>
    <w:rsid w:val="00AB4AA2"/>
    <w:rsid w:val="00AB795C"/>
    <w:rsid w:val="00AD0C7E"/>
    <w:rsid w:val="00AE01C4"/>
    <w:rsid w:val="00B00313"/>
    <w:rsid w:val="00B2311E"/>
    <w:rsid w:val="00B32516"/>
    <w:rsid w:val="00B42307"/>
    <w:rsid w:val="00B438D6"/>
    <w:rsid w:val="00B43C67"/>
    <w:rsid w:val="00B465F7"/>
    <w:rsid w:val="00B823C3"/>
    <w:rsid w:val="00BA0C8D"/>
    <w:rsid w:val="00BA2ACB"/>
    <w:rsid w:val="00BA5598"/>
    <w:rsid w:val="00BB560F"/>
    <w:rsid w:val="00BD1FE6"/>
    <w:rsid w:val="00BE0C2E"/>
    <w:rsid w:val="00C03B18"/>
    <w:rsid w:val="00C15276"/>
    <w:rsid w:val="00C17A3A"/>
    <w:rsid w:val="00C30947"/>
    <w:rsid w:val="00C41F2A"/>
    <w:rsid w:val="00C45062"/>
    <w:rsid w:val="00C5324F"/>
    <w:rsid w:val="00C639E0"/>
    <w:rsid w:val="00C73598"/>
    <w:rsid w:val="00C80B89"/>
    <w:rsid w:val="00C86A6F"/>
    <w:rsid w:val="00CA0D8B"/>
    <w:rsid w:val="00CA192A"/>
    <w:rsid w:val="00CA4661"/>
    <w:rsid w:val="00CA508A"/>
    <w:rsid w:val="00D23366"/>
    <w:rsid w:val="00D25B24"/>
    <w:rsid w:val="00D309C3"/>
    <w:rsid w:val="00D45EAC"/>
    <w:rsid w:val="00D6452A"/>
    <w:rsid w:val="00D74752"/>
    <w:rsid w:val="00D752F4"/>
    <w:rsid w:val="00D766F6"/>
    <w:rsid w:val="00D85445"/>
    <w:rsid w:val="00D955DE"/>
    <w:rsid w:val="00DC0615"/>
    <w:rsid w:val="00DD5790"/>
    <w:rsid w:val="00DE19FB"/>
    <w:rsid w:val="00DE61A9"/>
    <w:rsid w:val="00DF3F03"/>
    <w:rsid w:val="00DF53A0"/>
    <w:rsid w:val="00E154A6"/>
    <w:rsid w:val="00E31EC5"/>
    <w:rsid w:val="00E40029"/>
    <w:rsid w:val="00E461F9"/>
    <w:rsid w:val="00E753F4"/>
    <w:rsid w:val="00E80681"/>
    <w:rsid w:val="00EA0EDB"/>
    <w:rsid w:val="00EB43B0"/>
    <w:rsid w:val="00EB5E53"/>
    <w:rsid w:val="00EC10CF"/>
    <w:rsid w:val="00EC550A"/>
    <w:rsid w:val="00EF237C"/>
    <w:rsid w:val="00EF7BCB"/>
    <w:rsid w:val="00F03986"/>
    <w:rsid w:val="00F04BC9"/>
    <w:rsid w:val="00F0561E"/>
    <w:rsid w:val="00F37076"/>
    <w:rsid w:val="00F42061"/>
    <w:rsid w:val="00F50CB2"/>
    <w:rsid w:val="00F63184"/>
    <w:rsid w:val="00F74624"/>
    <w:rsid w:val="00F87A27"/>
    <w:rsid w:val="00FC3024"/>
    <w:rsid w:val="00FC38EA"/>
    <w:rsid w:val="00FD3BB9"/>
    <w:rsid w:val="00FD68FD"/>
    <w:rsid w:val="00FE323E"/>
    <w:rsid w:val="03140BD7"/>
    <w:rsid w:val="10EF27B4"/>
    <w:rsid w:val="12136862"/>
    <w:rsid w:val="12CE6EE7"/>
    <w:rsid w:val="16B11B8A"/>
    <w:rsid w:val="18D31E8D"/>
    <w:rsid w:val="337E7C26"/>
    <w:rsid w:val="3B213F50"/>
    <w:rsid w:val="41426045"/>
    <w:rsid w:val="56831A7C"/>
    <w:rsid w:val="5F8F2FA2"/>
    <w:rsid w:val="5FF96874"/>
    <w:rsid w:val="62A5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ind w:firstLine="200" w:firstLineChars="200"/>
    </w:pPr>
    <w:rPr>
      <w:rFonts w:eastAsia="仿宋_GB2312" w:asciiTheme="minorHAnsi" w:hAnsiTheme="minorHAnsi" w:cstheme="minorBidi"/>
      <w:kern w:val="2"/>
      <w:sz w:val="30"/>
      <w:szCs w:val="22"/>
      <w:lang w:val="en-US" w:eastAsia="zh-CN" w:bidi="ar-SA"/>
    </w:rPr>
  </w:style>
  <w:style w:type="paragraph" w:styleId="2">
    <w:name w:val="heading 1"/>
    <w:basedOn w:val="1"/>
    <w:next w:val="1"/>
    <w:link w:val="16"/>
    <w:qFormat/>
    <w:uiPriority w:val="9"/>
    <w:pPr>
      <w:keepNext/>
      <w:keepLines/>
      <w:ind w:firstLine="0" w:firstLineChars="0"/>
      <w:outlineLvl w:val="0"/>
    </w:pPr>
    <w:rPr>
      <w:rFonts w:eastAsia="黑体"/>
      <w:bCs/>
      <w:kern w:val="44"/>
      <w:sz w:val="32"/>
      <w:szCs w:val="44"/>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style>
  <w:style w:type="paragraph" w:styleId="4">
    <w:name w:val="Date"/>
    <w:basedOn w:val="1"/>
    <w:next w:val="1"/>
    <w:link w:val="13"/>
    <w:semiHidden/>
    <w:unhideWhenUsed/>
    <w:qFormat/>
    <w:uiPriority w:val="99"/>
    <w:pPr>
      <w:ind w:left="100" w:leftChars="2500"/>
    </w:pPr>
  </w:style>
  <w:style w:type="paragraph" w:styleId="5">
    <w:name w:val="Balloon Text"/>
    <w:basedOn w:val="1"/>
    <w:link w:val="19"/>
    <w:semiHidden/>
    <w:unhideWhenUsed/>
    <w:uiPriority w:val="99"/>
    <w:pPr>
      <w:spacing w:line="240" w:lineRule="auto"/>
    </w:pPr>
    <w:rPr>
      <w:sz w:val="18"/>
      <w:szCs w:val="18"/>
    </w:rPr>
  </w:style>
  <w:style w:type="paragraph" w:styleId="6">
    <w:name w:val="footer"/>
    <w:basedOn w:val="1"/>
    <w:link w:val="15"/>
    <w:unhideWhenUsed/>
    <w:qFormat/>
    <w:uiPriority w:val="99"/>
    <w:pPr>
      <w:tabs>
        <w:tab w:val="center" w:pos="4153"/>
        <w:tab w:val="right" w:pos="8306"/>
      </w:tabs>
      <w:snapToGrid w:val="0"/>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8"/>
    <w:semiHidden/>
    <w:unhideWhenUsed/>
    <w:qFormat/>
    <w:uiPriority w:val="99"/>
    <w:rPr>
      <w:b/>
      <w:bCs/>
    </w:rPr>
  </w:style>
  <w:style w:type="table" w:styleId="10">
    <w:name w:val="Table Grid"/>
    <w:basedOn w:val="9"/>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semiHidden/>
    <w:unhideWhenUsed/>
    <w:qFormat/>
    <w:uiPriority w:val="99"/>
    <w:rPr>
      <w:sz w:val="21"/>
      <w:szCs w:val="21"/>
    </w:rPr>
  </w:style>
  <w:style w:type="character" w:customStyle="1" w:styleId="13">
    <w:name w:val="日期 字符"/>
    <w:basedOn w:val="11"/>
    <w:link w:val="4"/>
    <w:semiHidden/>
    <w:qFormat/>
    <w:uiPriority w:val="99"/>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标题 1 字符"/>
    <w:basedOn w:val="11"/>
    <w:link w:val="2"/>
    <w:qFormat/>
    <w:uiPriority w:val="9"/>
    <w:rPr>
      <w:rFonts w:eastAsia="黑体"/>
      <w:bCs/>
      <w:kern w:val="44"/>
      <w:sz w:val="32"/>
      <w:szCs w:val="44"/>
    </w:rPr>
  </w:style>
  <w:style w:type="character" w:customStyle="1" w:styleId="17">
    <w:name w:val="批注文字 字符"/>
    <w:basedOn w:val="11"/>
    <w:link w:val="3"/>
    <w:semiHidden/>
    <w:qFormat/>
    <w:uiPriority w:val="99"/>
    <w:rPr>
      <w:rFonts w:eastAsia="仿宋_GB2312"/>
      <w:sz w:val="30"/>
    </w:rPr>
  </w:style>
  <w:style w:type="character" w:customStyle="1" w:styleId="18">
    <w:name w:val="批注主题 字符"/>
    <w:basedOn w:val="17"/>
    <w:link w:val="8"/>
    <w:semiHidden/>
    <w:qFormat/>
    <w:uiPriority w:val="99"/>
    <w:rPr>
      <w:rFonts w:eastAsia="仿宋_GB2312"/>
      <w:b/>
      <w:bCs/>
      <w:sz w:val="30"/>
    </w:rPr>
  </w:style>
  <w:style w:type="character" w:customStyle="1" w:styleId="19">
    <w:name w:val="批注框文本 字符"/>
    <w:basedOn w:val="11"/>
    <w:link w:val="5"/>
    <w:semiHidden/>
    <w:qFormat/>
    <w:uiPriority w:val="99"/>
    <w:rPr>
      <w:rFonts w:eastAsia="仿宋_GB2312"/>
      <w:sz w:val="18"/>
      <w:szCs w:val="18"/>
    </w:rPr>
  </w:style>
  <w:style w:type="paragraph" w:styleId="20">
    <w:name w:val="List Paragraph"/>
    <w:basedOn w:val="1"/>
    <w:qFormat/>
    <w:uiPriority w:val="34"/>
    <w:pPr>
      <w:ind w:firstLine="420"/>
    </w:pPr>
  </w:style>
  <w:style w:type="paragraph" w:customStyle="1" w:styleId="21">
    <w:name w:val="修订1"/>
    <w:hidden/>
    <w:semiHidden/>
    <w:qFormat/>
    <w:uiPriority w:val="99"/>
    <w:rPr>
      <w:rFonts w:eastAsia="仿宋_GB2312" w:asciiTheme="minorHAnsi" w:hAnsiTheme="minorHAnsi" w:cstheme="minorBidi"/>
      <w:kern w:val="2"/>
      <w:sz w:val="30"/>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614</Words>
  <Characters>3506</Characters>
  <Lines>29</Lines>
  <Paragraphs>8</Paragraphs>
  <TotalTime>274</TotalTime>
  <ScaleCrop>false</ScaleCrop>
  <LinksUpToDate>false</LinksUpToDate>
  <CharactersWithSpaces>4112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2020-03-19T17:11:00Z</dcterms:created>
  <dc:creator>YOUHA</dc:creator>
  <cp:lastModifiedBy>Administrator</cp:lastModifiedBy>
  <dcterms:modified xsi:type="dcterms:W3CDTF">2019-04-07T23:54:55Z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